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1417" w14:textId="77777777" w:rsidR="000B219D" w:rsidRPr="004C7398" w:rsidRDefault="000B219D" w:rsidP="000B219D">
      <w:pPr>
        <w:jc w:val="center"/>
        <w:rPr>
          <w:b/>
        </w:rPr>
      </w:pPr>
      <w:r w:rsidRPr="004C7398">
        <w:rPr>
          <w:b/>
        </w:rPr>
        <w:t>IN THE HIGH COURT OF SOUTH AFRICA</w:t>
      </w:r>
    </w:p>
    <w:p w14:paraId="5FDB6376" w14:textId="2D0CB35C" w:rsidR="000B219D" w:rsidRPr="004C7398" w:rsidRDefault="005E5DED" w:rsidP="000B219D">
      <w:pPr>
        <w:jc w:val="center"/>
        <w:rPr>
          <w:b/>
        </w:rPr>
      </w:pPr>
      <w:r w:rsidRPr="004C7398">
        <w:rPr>
          <w:b/>
        </w:rPr>
        <w:t xml:space="preserve">GAUTENG </w:t>
      </w:r>
      <w:r w:rsidR="000B219D" w:rsidRPr="004C7398">
        <w:rPr>
          <w:b/>
        </w:rPr>
        <w:t xml:space="preserve">DIVISION, </w:t>
      </w:r>
      <w:r w:rsidRPr="004C7398">
        <w:rPr>
          <w:b/>
        </w:rPr>
        <w:t>PRETORIA</w:t>
      </w:r>
      <w:r w:rsidR="000B219D" w:rsidRPr="004C7398">
        <w:rPr>
          <w:b/>
        </w:rPr>
        <w:t xml:space="preserve"> </w:t>
      </w:r>
    </w:p>
    <w:p w14:paraId="7E838D0A" w14:textId="77777777" w:rsidR="000B219D" w:rsidRPr="004C7398" w:rsidRDefault="000B219D" w:rsidP="000B219D">
      <w:pPr>
        <w:jc w:val="right"/>
      </w:pPr>
      <w:r w:rsidRPr="004C7398">
        <w:t>Case No.: ______</w:t>
      </w:r>
    </w:p>
    <w:p w14:paraId="17C6BD69" w14:textId="77777777" w:rsidR="000B219D" w:rsidRPr="004C7398" w:rsidRDefault="000B219D" w:rsidP="000B219D">
      <w:r w:rsidRPr="004C7398">
        <w:t>In the matter between:</w:t>
      </w:r>
    </w:p>
    <w:p w14:paraId="3E5D1387" w14:textId="77777777" w:rsidR="000B219D" w:rsidRPr="004C7398" w:rsidRDefault="000B219D" w:rsidP="000B219D"/>
    <w:p w14:paraId="13C2E63B" w14:textId="4A4AA885" w:rsidR="000B219D" w:rsidRPr="004C7398" w:rsidRDefault="00723973" w:rsidP="000B219D">
      <w:pPr>
        <w:tabs>
          <w:tab w:val="right" w:pos="9072"/>
        </w:tabs>
      </w:pPr>
      <w:r w:rsidRPr="004C7398">
        <w:rPr>
          <w:b/>
        </w:rPr>
        <w:t>MOBILE TELEPHONE NETWORKS</w:t>
      </w:r>
      <w:r w:rsidR="000B219D" w:rsidRPr="004C7398">
        <w:rPr>
          <w:b/>
        </w:rPr>
        <w:t xml:space="preserve"> (PTY) LTD</w:t>
      </w:r>
      <w:r w:rsidR="000B219D" w:rsidRPr="004C7398">
        <w:tab/>
        <w:t>Applicant</w:t>
      </w:r>
    </w:p>
    <w:p w14:paraId="5788BE91" w14:textId="77777777" w:rsidR="000B219D" w:rsidRPr="004C7398" w:rsidRDefault="000B219D" w:rsidP="000B219D">
      <w:pPr>
        <w:tabs>
          <w:tab w:val="right" w:pos="8789"/>
        </w:tabs>
      </w:pPr>
    </w:p>
    <w:p w14:paraId="34039545" w14:textId="77777777" w:rsidR="000B219D" w:rsidRPr="004C7398" w:rsidRDefault="000B219D" w:rsidP="000B219D">
      <w:pPr>
        <w:tabs>
          <w:tab w:val="right" w:pos="8789"/>
        </w:tabs>
      </w:pPr>
      <w:r w:rsidRPr="004C7398">
        <w:t>and</w:t>
      </w:r>
    </w:p>
    <w:p w14:paraId="088254AE" w14:textId="77777777" w:rsidR="000B219D" w:rsidRPr="004C7398" w:rsidRDefault="000B219D" w:rsidP="000B219D">
      <w:pPr>
        <w:tabs>
          <w:tab w:val="right" w:pos="9072"/>
        </w:tabs>
        <w:rPr>
          <w:b/>
        </w:rPr>
      </w:pPr>
    </w:p>
    <w:p w14:paraId="68C74AC8" w14:textId="6A9CE0B9" w:rsidR="00723973" w:rsidRPr="004C7398" w:rsidRDefault="00E74934" w:rsidP="00844B93">
      <w:pPr>
        <w:tabs>
          <w:tab w:val="left" w:pos="6237"/>
          <w:tab w:val="right" w:pos="9214"/>
        </w:tabs>
        <w:spacing w:before="0" w:after="0" w:line="240" w:lineRule="auto"/>
        <w:rPr>
          <w:b/>
        </w:rPr>
      </w:pPr>
      <w:r>
        <w:rPr>
          <w:b/>
        </w:rPr>
        <w:t>INDEPENDENT</w:t>
      </w:r>
      <w:r w:rsidRPr="004C7398">
        <w:rPr>
          <w:b/>
        </w:rPr>
        <w:t xml:space="preserve"> </w:t>
      </w:r>
      <w:r w:rsidR="00723973" w:rsidRPr="004C7398">
        <w:rPr>
          <w:b/>
        </w:rPr>
        <w:t>COMMUNICATION</w:t>
      </w:r>
      <w:r w:rsidR="009E4671">
        <w:rPr>
          <w:b/>
        </w:rPr>
        <w:t>S</w:t>
      </w:r>
      <w:r w:rsidR="00723973" w:rsidRPr="004C7398">
        <w:rPr>
          <w:b/>
        </w:rPr>
        <w:t xml:space="preserve"> AUTHORITY </w:t>
      </w:r>
    </w:p>
    <w:p w14:paraId="0AF75E2C" w14:textId="3B6F11FE" w:rsidR="000B219D" w:rsidRPr="004C7398" w:rsidRDefault="00723973" w:rsidP="00844B93">
      <w:pPr>
        <w:tabs>
          <w:tab w:val="left" w:pos="6237"/>
          <w:tab w:val="right" w:pos="9214"/>
        </w:tabs>
        <w:spacing w:before="0" w:after="0" w:line="240" w:lineRule="auto"/>
      </w:pPr>
      <w:r w:rsidRPr="004C7398">
        <w:rPr>
          <w:b/>
        </w:rPr>
        <w:t>OF SOUTH AFRICA</w:t>
      </w:r>
      <w:r w:rsidR="007D357D" w:rsidRPr="004C7398">
        <w:rPr>
          <w:b/>
        </w:rPr>
        <w:t xml:space="preserve"> </w:t>
      </w:r>
      <w:r w:rsidR="000B219D" w:rsidRPr="004C7398">
        <w:rPr>
          <w:b/>
        </w:rPr>
        <w:tab/>
      </w:r>
      <w:r w:rsidR="000B219D" w:rsidRPr="004C7398">
        <w:rPr>
          <w:b/>
        </w:rPr>
        <w:tab/>
      </w:r>
      <w:r w:rsidR="000B219D" w:rsidRPr="004C7398">
        <w:t>First Respondent</w:t>
      </w:r>
    </w:p>
    <w:p w14:paraId="40D00D0D" w14:textId="77777777" w:rsidR="009E4671" w:rsidRDefault="00F85265" w:rsidP="00561464">
      <w:pPr>
        <w:tabs>
          <w:tab w:val="left" w:pos="6237"/>
          <w:tab w:val="right" w:pos="9214"/>
        </w:tabs>
        <w:spacing w:after="0" w:line="240" w:lineRule="auto"/>
        <w:rPr>
          <w:b/>
        </w:rPr>
      </w:pPr>
      <w:r w:rsidRPr="004C7398">
        <w:rPr>
          <w:b/>
        </w:rPr>
        <w:t>MINISTER OF COMMUNICATIONS</w:t>
      </w:r>
      <w:r w:rsidR="009E4671">
        <w:rPr>
          <w:b/>
        </w:rPr>
        <w:t xml:space="preserve"> AND</w:t>
      </w:r>
    </w:p>
    <w:p w14:paraId="2CF5ACA3" w14:textId="21CB60AE" w:rsidR="000B219D" w:rsidRPr="004C7398" w:rsidRDefault="009E4671" w:rsidP="00561464">
      <w:pPr>
        <w:tabs>
          <w:tab w:val="left" w:pos="6237"/>
          <w:tab w:val="right" w:pos="9214"/>
        </w:tabs>
        <w:spacing w:before="0" w:line="240" w:lineRule="auto"/>
        <w:rPr>
          <w:b/>
        </w:rPr>
      </w:pPr>
      <w:r>
        <w:rPr>
          <w:b/>
        </w:rPr>
        <w:t xml:space="preserve">DIGITAL TECHNOLOGIES </w:t>
      </w:r>
      <w:r w:rsidR="000B219D" w:rsidRPr="004C7398">
        <w:rPr>
          <w:b/>
        </w:rPr>
        <w:tab/>
      </w:r>
      <w:r w:rsidR="000B219D" w:rsidRPr="004C7398">
        <w:rPr>
          <w:b/>
        </w:rPr>
        <w:tab/>
      </w:r>
      <w:proofErr w:type="gramStart"/>
      <w:r w:rsidR="00E74934">
        <w:t xml:space="preserve">Second </w:t>
      </w:r>
      <w:r w:rsidR="00E74934" w:rsidRPr="004C7398">
        <w:t xml:space="preserve"> </w:t>
      </w:r>
      <w:r w:rsidR="000B219D" w:rsidRPr="004C7398">
        <w:t>Respondent</w:t>
      </w:r>
      <w:proofErr w:type="gramEnd"/>
    </w:p>
    <w:p w14:paraId="67ECA5C1" w14:textId="1248B2AE" w:rsidR="000B219D" w:rsidRPr="004C7398" w:rsidRDefault="00F85265" w:rsidP="000B219D">
      <w:pPr>
        <w:tabs>
          <w:tab w:val="left" w:pos="6237"/>
          <w:tab w:val="right" w:pos="9214"/>
        </w:tabs>
        <w:rPr>
          <w:b/>
          <w:bCs/>
        </w:rPr>
      </w:pPr>
      <w:r w:rsidRPr="004C7398">
        <w:rPr>
          <w:b/>
        </w:rPr>
        <w:t>TELKOM SA SOC LIMITED</w:t>
      </w:r>
      <w:r w:rsidR="000B219D" w:rsidRPr="004C7398">
        <w:rPr>
          <w:b/>
          <w:bCs/>
          <w:caps/>
        </w:rPr>
        <w:tab/>
      </w:r>
      <w:r w:rsidR="000B219D" w:rsidRPr="004C7398">
        <w:rPr>
          <w:b/>
          <w:bCs/>
          <w:caps/>
        </w:rPr>
        <w:tab/>
      </w:r>
      <w:r w:rsidR="00E74934">
        <w:rPr>
          <w:bCs/>
        </w:rPr>
        <w:t>Third</w:t>
      </w:r>
      <w:r w:rsidR="00E74934" w:rsidRPr="004C7398">
        <w:rPr>
          <w:bCs/>
        </w:rPr>
        <w:t xml:space="preserve"> </w:t>
      </w:r>
      <w:r w:rsidR="000B219D" w:rsidRPr="004C7398">
        <w:rPr>
          <w:bCs/>
        </w:rPr>
        <w:t>Respondent</w:t>
      </w:r>
    </w:p>
    <w:p w14:paraId="1AA14D9F" w14:textId="0D418B92" w:rsidR="000B219D" w:rsidRPr="004C7398" w:rsidRDefault="00284AA9" w:rsidP="000B219D">
      <w:pPr>
        <w:tabs>
          <w:tab w:val="left" w:pos="6237"/>
          <w:tab w:val="left" w:pos="7088"/>
          <w:tab w:val="right" w:pos="9214"/>
        </w:tabs>
        <w:spacing w:before="0" w:line="240" w:lineRule="auto"/>
        <w:rPr>
          <w:bCs/>
        </w:rPr>
      </w:pPr>
      <w:r w:rsidRPr="004C7398">
        <w:rPr>
          <w:b/>
        </w:rPr>
        <w:t>VODACOM (PTY) LTD</w:t>
      </w:r>
      <w:r w:rsidR="000B219D" w:rsidRPr="004C7398">
        <w:rPr>
          <w:b/>
          <w:bCs/>
          <w:caps/>
        </w:rPr>
        <w:tab/>
      </w:r>
      <w:r w:rsidR="00996610">
        <w:rPr>
          <w:b/>
          <w:bCs/>
          <w:caps/>
        </w:rPr>
        <w:t xml:space="preserve">          </w:t>
      </w:r>
      <w:r w:rsidR="00E74934">
        <w:t>Fourth</w:t>
      </w:r>
      <w:r w:rsidR="00E74934" w:rsidRPr="004C7398">
        <w:t xml:space="preserve"> </w:t>
      </w:r>
      <w:r w:rsidR="000B219D" w:rsidRPr="004C7398">
        <w:t>Respondent</w:t>
      </w:r>
    </w:p>
    <w:p w14:paraId="481BE2A8" w14:textId="26941D7B" w:rsidR="00284AA9" w:rsidRPr="004C7398" w:rsidRDefault="00284AA9" w:rsidP="00284AA9">
      <w:pPr>
        <w:tabs>
          <w:tab w:val="left" w:pos="6237"/>
          <w:tab w:val="right" w:pos="9214"/>
        </w:tabs>
        <w:spacing w:line="240" w:lineRule="auto"/>
        <w:rPr>
          <w:b/>
        </w:rPr>
      </w:pPr>
      <w:r w:rsidRPr="004C7398">
        <w:rPr>
          <w:b/>
        </w:rPr>
        <w:t>CELL C (PTY) LTD</w:t>
      </w:r>
      <w:r w:rsidRPr="004C7398">
        <w:rPr>
          <w:b/>
        </w:rPr>
        <w:tab/>
      </w:r>
      <w:r w:rsidRPr="004C7398">
        <w:rPr>
          <w:b/>
        </w:rPr>
        <w:tab/>
      </w:r>
      <w:r w:rsidR="00E74934">
        <w:t>Fifth</w:t>
      </w:r>
      <w:r w:rsidR="00E74934" w:rsidRPr="004C7398">
        <w:t xml:space="preserve"> </w:t>
      </w:r>
      <w:r w:rsidRPr="004C7398">
        <w:t>Respondent</w:t>
      </w:r>
    </w:p>
    <w:p w14:paraId="2E824DBC" w14:textId="77777777" w:rsidR="003F11FE" w:rsidRPr="004C7398" w:rsidRDefault="003F11FE" w:rsidP="00E254A1">
      <w:pPr>
        <w:tabs>
          <w:tab w:val="left" w:pos="6237"/>
          <w:tab w:val="right" w:pos="9214"/>
        </w:tabs>
        <w:spacing w:after="0" w:line="240" w:lineRule="auto"/>
        <w:rPr>
          <w:b/>
        </w:rPr>
      </w:pPr>
      <w:r w:rsidRPr="004C7398">
        <w:rPr>
          <w:b/>
        </w:rPr>
        <w:t>LIQUID TELECOMMUNICATIONS SOUTH</w:t>
      </w:r>
    </w:p>
    <w:p w14:paraId="70D3352C" w14:textId="609156F9" w:rsidR="00284AA9" w:rsidRPr="004C7398" w:rsidRDefault="003F11FE" w:rsidP="00E254A1">
      <w:pPr>
        <w:tabs>
          <w:tab w:val="left" w:pos="6237"/>
          <w:tab w:val="right" w:pos="9214"/>
        </w:tabs>
        <w:spacing w:before="0" w:line="240" w:lineRule="auto"/>
        <w:rPr>
          <w:b/>
        </w:rPr>
      </w:pPr>
      <w:r w:rsidRPr="004C7398">
        <w:rPr>
          <w:b/>
        </w:rPr>
        <w:t>AFRICA (PTY) LTD</w:t>
      </w:r>
      <w:r w:rsidR="00284AA9" w:rsidRPr="004C7398">
        <w:rPr>
          <w:b/>
        </w:rPr>
        <w:tab/>
      </w:r>
      <w:r w:rsidR="00284AA9" w:rsidRPr="004C7398">
        <w:rPr>
          <w:b/>
        </w:rPr>
        <w:tab/>
      </w:r>
      <w:r w:rsidR="00E74934">
        <w:t>Sixth</w:t>
      </w:r>
      <w:r w:rsidR="00E74934" w:rsidRPr="004C7398">
        <w:t xml:space="preserve"> </w:t>
      </w:r>
      <w:r w:rsidR="00284AA9" w:rsidRPr="004C7398">
        <w:t>Respondent</w:t>
      </w:r>
    </w:p>
    <w:p w14:paraId="71ABD9A2" w14:textId="058004AF" w:rsidR="00284AA9" w:rsidRPr="004C7398" w:rsidRDefault="009A71FC" w:rsidP="00284AA9">
      <w:pPr>
        <w:tabs>
          <w:tab w:val="left" w:pos="6237"/>
          <w:tab w:val="right" w:pos="9214"/>
        </w:tabs>
        <w:rPr>
          <w:b/>
          <w:bCs/>
        </w:rPr>
      </w:pPr>
      <w:r>
        <w:rPr>
          <w:b/>
        </w:rPr>
        <w:t>WIRELESS BUSINESS SOLUTIONS (PTY) LTD</w:t>
      </w:r>
      <w:r w:rsidR="00284AA9" w:rsidRPr="004C7398">
        <w:rPr>
          <w:b/>
          <w:bCs/>
          <w:caps/>
        </w:rPr>
        <w:tab/>
      </w:r>
      <w:r w:rsidR="00284AA9" w:rsidRPr="004C7398">
        <w:rPr>
          <w:b/>
          <w:bCs/>
          <w:caps/>
        </w:rPr>
        <w:tab/>
      </w:r>
      <w:r w:rsidR="00E74934">
        <w:rPr>
          <w:bCs/>
        </w:rPr>
        <w:t>Seventh</w:t>
      </w:r>
      <w:r w:rsidR="00E74934" w:rsidRPr="004C7398">
        <w:rPr>
          <w:bCs/>
        </w:rPr>
        <w:t xml:space="preserve"> </w:t>
      </w:r>
      <w:r w:rsidR="00284AA9" w:rsidRPr="004C7398">
        <w:rPr>
          <w:bCs/>
        </w:rPr>
        <w:t>Respondent</w:t>
      </w:r>
    </w:p>
    <w:p w14:paraId="3A9D5DF0" w14:textId="422999BA" w:rsidR="005D7345" w:rsidRPr="004C7398" w:rsidRDefault="005D7345" w:rsidP="00483035">
      <w:pPr>
        <w:rPr>
          <w:b/>
        </w:rPr>
      </w:pPr>
    </w:p>
    <w:p w14:paraId="5436FD97" w14:textId="77777777" w:rsidR="00483035" w:rsidRPr="004C7398" w:rsidRDefault="00483035" w:rsidP="00483035">
      <w:pPr>
        <w:spacing w:line="240" w:lineRule="auto"/>
      </w:pPr>
      <w:r w:rsidRPr="004C7398">
        <w:t>___________________________________________________________________</w:t>
      </w:r>
    </w:p>
    <w:p w14:paraId="5CAB7454" w14:textId="45025146" w:rsidR="00483035" w:rsidRPr="004C7398" w:rsidRDefault="00FD7ED4" w:rsidP="00483035">
      <w:pPr>
        <w:spacing w:after="0" w:line="240" w:lineRule="auto"/>
        <w:jc w:val="center"/>
        <w:rPr>
          <w:b/>
        </w:rPr>
      </w:pPr>
      <w:r w:rsidRPr="004C7398">
        <w:rPr>
          <w:b/>
        </w:rPr>
        <w:t xml:space="preserve">FOUNDING </w:t>
      </w:r>
      <w:r w:rsidR="00483035" w:rsidRPr="004C7398">
        <w:rPr>
          <w:b/>
        </w:rPr>
        <w:t>AFFIDAVIT</w:t>
      </w:r>
    </w:p>
    <w:p w14:paraId="389A98A0" w14:textId="77777777" w:rsidR="00483035" w:rsidRPr="004C7398" w:rsidRDefault="00483035" w:rsidP="00483035">
      <w:pPr>
        <w:spacing w:before="0"/>
      </w:pPr>
      <w:r w:rsidRPr="004C7398">
        <w:t>___________________________________________________________________</w:t>
      </w:r>
    </w:p>
    <w:p w14:paraId="1DDE115C" w14:textId="1F91BA28" w:rsidR="00483035" w:rsidRDefault="00483035" w:rsidP="00483035"/>
    <w:sdt>
      <w:sdtPr>
        <w:rPr>
          <w:rFonts w:ascii="Arial" w:eastAsiaTheme="minorHAnsi" w:hAnsi="Arial" w:cs="Arial"/>
          <w:b w:val="0"/>
          <w:bCs w:val="0"/>
          <w:color w:val="auto"/>
          <w:sz w:val="24"/>
          <w:szCs w:val="24"/>
          <w:lang w:val="en-GB"/>
        </w:rPr>
        <w:id w:val="536473773"/>
        <w:docPartObj>
          <w:docPartGallery w:val="Table of Contents"/>
          <w:docPartUnique/>
        </w:docPartObj>
      </w:sdtPr>
      <w:sdtEndPr>
        <w:rPr>
          <w:noProof/>
        </w:rPr>
      </w:sdtEndPr>
      <w:sdtContent>
        <w:p w14:paraId="1FC92FA8" w14:textId="17E8B96C" w:rsidR="00B23DDA" w:rsidRPr="00307499" w:rsidRDefault="00996610" w:rsidP="00307499">
          <w:pPr>
            <w:pStyle w:val="TOCHeading"/>
            <w:spacing w:before="0" w:after="120" w:line="240" w:lineRule="auto"/>
            <w:jc w:val="center"/>
            <w:rPr>
              <w:rFonts w:ascii="Arial" w:hAnsi="Arial" w:cs="Arial"/>
              <w:b w:val="0"/>
              <w:bCs w:val="0"/>
            </w:rPr>
          </w:pPr>
          <w:r w:rsidRPr="00307499">
            <w:rPr>
              <w:rFonts w:ascii="Arial" w:hAnsi="Arial" w:cs="Arial"/>
              <w:b w:val="0"/>
              <w:bCs w:val="0"/>
            </w:rPr>
            <w:t>TABLE OF CONTENTS</w:t>
          </w:r>
        </w:p>
        <w:p w14:paraId="2D84F384" w14:textId="77777777" w:rsidR="009E5A5C" w:rsidRPr="00307499" w:rsidRDefault="009E5A5C" w:rsidP="00307499">
          <w:pPr>
            <w:spacing w:before="0" w:after="120" w:line="240" w:lineRule="auto"/>
            <w:rPr>
              <w:rFonts w:cs="Arial"/>
              <w:lang w:val="en-US"/>
            </w:rPr>
          </w:pPr>
        </w:p>
        <w:p w14:paraId="6C455897" w14:textId="313BE2F9" w:rsidR="00307499" w:rsidRPr="00307499" w:rsidRDefault="00307499"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r w:rsidRPr="00307499">
            <w:rPr>
              <w:rFonts w:ascii="Arial" w:hAnsi="Arial" w:cs="Arial"/>
              <w:b w:val="0"/>
              <w:bCs w:val="0"/>
              <w:caps w:val="0"/>
            </w:rPr>
            <w:fldChar w:fldCharType="begin"/>
          </w:r>
          <w:r w:rsidRPr="00307499">
            <w:rPr>
              <w:rFonts w:ascii="Arial" w:hAnsi="Arial" w:cs="Arial"/>
              <w:b w:val="0"/>
              <w:bCs w:val="0"/>
              <w:caps w:val="0"/>
            </w:rPr>
            <w:instrText xml:space="preserve"> TOC \o "1-3" \h \z \u </w:instrText>
          </w:r>
          <w:r w:rsidRPr="00307499">
            <w:rPr>
              <w:rFonts w:ascii="Arial" w:hAnsi="Arial" w:cs="Arial"/>
              <w:b w:val="0"/>
              <w:bCs w:val="0"/>
              <w:caps w:val="0"/>
            </w:rPr>
            <w:fldChar w:fldCharType="separate"/>
          </w:r>
          <w:hyperlink w:anchor="_Toc62222136" w:history="1">
            <w:r w:rsidRPr="00307499">
              <w:rPr>
                <w:rStyle w:val="Hyperlink"/>
                <w:rFonts w:ascii="Arial" w:hAnsi="Arial" w:cs="Arial"/>
                <w:b w:val="0"/>
                <w:bCs w:val="0"/>
                <w:noProof/>
              </w:rPr>
              <w:t>PARTIES</w:t>
            </w:r>
            <w:r w:rsidRPr="00307499">
              <w:rPr>
                <w:rFonts w:ascii="Arial" w:hAnsi="Arial" w:cs="Arial"/>
                <w:b w:val="0"/>
                <w:bCs w:val="0"/>
                <w:noProof/>
                <w:webHidden/>
              </w:rPr>
              <w:tab/>
            </w:r>
            <w:r w:rsidRPr="00307499">
              <w:rPr>
                <w:rFonts w:ascii="Arial" w:hAnsi="Arial" w:cs="Arial"/>
                <w:b w:val="0"/>
                <w:bCs w:val="0"/>
                <w:noProof/>
                <w:webHidden/>
              </w:rPr>
              <w:fldChar w:fldCharType="begin"/>
            </w:r>
            <w:r w:rsidRPr="00307499">
              <w:rPr>
                <w:rFonts w:ascii="Arial" w:hAnsi="Arial" w:cs="Arial"/>
                <w:b w:val="0"/>
                <w:bCs w:val="0"/>
                <w:noProof/>
                <w:webHidden/>
              </w:rPr>
              <w:instrText xml:space="preserve"> PAGEREF _Toc62222136 \h </w:instrText>
            </w:r>
            <w:r w:rsidRPr="00307499">
              <w:rPr>
                <w:rFonts w:ascii="Arial" w:hAnsi="Arial" w:cs="Arial"/>
                <w:b w:val="0"/>
                <w:bCs w:val="0"/>
                <w:noProof/>
                <w:webHidden/>
              </w:rPr>
            </w:r>
            <w:r w:rsidRPr="00307499">
              <w:rPr>
                <w:rFonts w:ascii="Arial" w:hAnsi="Arial" w:cs="Arial"/>
                <w:b w:val="0"/>
                <w:bCs w:val="0"/>
                <w:noProof/>
                <w:webHidden/>
              </w:rPr>
              <w:fldChar w:fldCharType="separate"/>
            </w:r>
            <w:r w:rsidRPr="00307499">
              <w:rPr>
                <w:rFonts w:ascii="Arial" w:hAnsi="Arial" w:cs="Arial"/>
                <w:b w:val="0"/>
                <w:bCs w:val="0"/>
                <w:noProof/>
                <w:webHidden/>
              </w:rPr>
              <w:t>4</w:t>
            </w:r>
            <w:r w:rsidRPr="00307499">
              <w:rPr>
                <w:rFonts w:ascii="Arial" w:hAnsi="Arial" w:cs="Arial"/>
                <w:b w:val="0"/>
                <w:bCs w:val="0"/>
                <w:noProof/>
                <w:webHidden/>
              </w:rPr>
              <w:fldChar w:fldCharType="end"/>
            </w:r>
          </w:hyperlink>
        </w:p>
        <w:p w14:paraId="3B648859" w14:textId="242D8AD7"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37" w:history="1">
            <w:r w:rsidR="00307499" w:rsidRPr="00307499">
              <w:rPr>
                <w:rStyle w:val="Hyperlink"/>
                <w:rFonts w:ascii="Arial" w:hAnsi="Arial" w:cs="Arial"/>
                <w:b w:val="0"/>
                <w:bCs w:val="0"/>
                <w:noProof/>
              </w:rPr>
              <w:t>overview of this application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_Toc62222137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6</w:t>
            </w:r>
            <w:r w:rsidR="00307499" w:rsidRPr="00307499">
              <w:rPr>
                <w:rFonts w:ascii="Arial" w:hAnsi="Arial" w:cs="Arial"/>
                <w:b w:val="0"/>
                <w:bCs w:val="0"/>
                <w:noProof/>
                <w:webHidden/>
              </w:rPr>
              <w:fldChar w:fldCharType="end"/>
            </w:r>
          </w:hyperlink>
        </w:p>
        <w:p w14:paraId="1ACFA2F7" w14:textId="574D9C0A"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38" w:history="1">
            <w:r w:rsidR="00307499" w:rsidRPr="00307499">
              <w:rPr>
                <w:rStyle w:val="Hyperlink"/>
                <w:rFonts w:ascii="Arial" w:hAnsi="Arial" w:cs="Arial"/>
                <w:b w:val="0"/>
                <w:bCs w:val="0"/>
                <w:noProof/>
              </w:rPr>
              <w:t>THE ROLE OF SPECTRUM IN MOBILE TELEPHONY</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_Toc62222138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8</w:t>
            </w:r>
            <w:r w:rsidR="00307499" w:rsidRPr="00307499">
              <w:rPr>
                <w:rFonts w:ascii="Arial" w:hAnsi="Arial" w:cs="Arial"/>
                <w:b w:val="0"/>
                <w:bCs w:val="0"/>
                <w:noProof/>
                <w:webHidden/>
              </w:rPr>
              <w:fldChar w:fldCharType="end"/>
            </w:r>
          </w:hyperlink>
        </w:p>
        <w:p w14:paraId="2AAB8F09" w14:textId="556F316C"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39" w:history="1">
            <w:r w:rsidR="00307499" w:rsidRPr="00307499">
              <w:rPr>
                <w:rStyle w:val="Hyperlink"/>
                <w:rFonts w:ascii="Arial" w:hAnsi="Arial" w:cs="Arial"/>
                <w:b w:val="0"/>
                <w:bCs w:val="0"/>
                <w:noProof/>
              </w:rPr>
              <w:t>THE ITA PROCESS TO DATE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_Toc62222139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14</w:t>
            </w:r>
            <w:r w:rsidR="00307499" w:rsidRPr="00307499">
              <w:rPr>
                <w:rFonts w:ascii="Arial" w:hAnsi="Arial" w:cs="Arial"/>
                <w:b w:val="0"/>
                <w:bCs w:val="0"/>
                <w:noProof/>
                <w:webHidden/>
              </w:rPr>
              <w:fldChar w:fldCharType="end"/>
            </w:r>
          </w:hyperlink>
        </w:p>
        <w:p w14:paraId="129B13AE" w14:textId="52578470"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40" w:history="1">
            <w:r w:rsidR="00307499" w:rsidRPr="00307499">
              <w:rPr>
                <w:rStyle w:val="Hyperlink"/>
                <w:rFonts w:ascii="Arial" w:hAnsi="Arial" w:cs="Arial"/>
                <w:b w:val="0"/>
                <w:bCs w:val="0"/>
                <w:noProof/>
              </w:rPr>
              <w:t>THE SPECTRUM AUCTION ENVISAGED IN THE ITA</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_Toc62222140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17</w:t>
            </w:r>
            <w:r w:rsidR="00307499" w:rsidRPr="00307499">
              <w:rPr>
                <w:rFonts w:ascii="Arial" w:hAnsi="Arial" w:cs="Arial"/>
                <w:b w:val="0"/>
                <w:bCs w:val="0"/>
                <w:noProof/>
                <w:webHidden/>
              </w:rPr>
              <w:fldChar w:fldCharType="end"/>
            </w:r>
          </w:hyperlink>
        </w:p>
        <w:p w14:paraId="624EB1A8" w14:textId="630CB826"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1" w:history="1">
            <w:r w:rsidR="00307499" w:rsidRPr="00307499">
              <w:rPr>
                <w:rStyle w:val="Hyperlink"/>
                <w:rFonts w:ascii="Arial" w:hAnsi="Arial" w:cs="Arial"/>
                <w:b w:val="0"/>
                <w:bCs w:val="0"/>
                <w:noProof/>
              </w:rPr>
              <w:t>Current spectrum holdings and spectrum available for auction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_Toc62222141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18</w:t>
            </w:r>
            <w:r w:rsidR="00307499" w:rsidRPr="00307499">
              <w:rPr>
                <w:rFonts w:ascii="Arial" w:hAnsi="Arial" w:cs="Arial"/>
                <w:b w:val="0"/>
                <w:bCs w:val="0"/>
                <w:noProof/>
                <w:webHidden/>
              </w:rPr>
              <w:fldChar w:fldCharType="end"/>
            </w:r>
          </w:hyperlink>
        </w:p>
        <w:p w14:paraId="000263C2" w14:textId="3173179F"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2" w:history="1">
            <w:r w:rsidR="00307499" w:rsidRPr="00307499">
              <w:rPr>
                <w:rStyle w:val="Hyperlink"/>
                <w:rFonts w:ascii="Arial" w:hAnsi="Arial" w:cs="Arial"/>
                <w:b w:val="0"/>
                <w:bCs w:val="0"/>
                <w:noProof/>
              </w:rPr>
              <w:t>Spectrum caps and spectrum set-asides</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_Toc62222142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19</w:t>
            </w:r>
            <w:r w:rsidR="00307499" w:rsidRPr="00307499">
              <w:rPr>
                <w:rFonts w:ascii="Arial" w:hAnsi="Arial" w:cs="Arial"/>
                <w:b w:val="0"/>
                <w:bCs w:val="0"/>
                <w:noProof/>
                <w:webHidden/>
              </w:rPr>
              <w:fldChar w:fldCharType="end"/>
            </w:r>
          </w:hyperlink>
        </w:p>
        <w:p w14:paraId="76B9C843" w14:textId="2BF3BF19"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3" w:history="1">
            <w:r w:rsidR="00307499" w:rsidRPr="00307499">
              <w:rPr>
                <w:rStyle w:val="Hyperlink"/>
                <w:rFonts w:ascii="Arial" w:hAnsi="Arial" w:cs="Arial"/>
                <w:b w:val="0"/>
                <w:bCs w:val="0"/>
                <w:noProof/>
              </w:rPr>
              <w:t>The Opt-In Scheme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_Toc62222143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22</w:t>
            </w:r>
            <w:r w:rsidR="00307499" w:rsidRPr="00307499">
              <w:rPr>
                <w:rFonts w:ascii="Arial" w:hAnsi="Arial" w:cs="Arial"/>
                <w:b w:val="0"/>
                <w:bCs w:val="0"/>
                <w:noProof/>
                <w:webHidden/>
              </w:rPr>
              <w:fldChar w:fldCharType="end"/>
            </w:r>
          </w:hyperlink>
        </w:p>
        <w:p w14:paraId="5044BAC9" w14:textId="768A25B8"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4" w:history="1">
            <w:r w:rsidR="00307499" w:rsidRPr="00307499">
              <w:rPr>
                <w:rStyle w:val="Hyperlink"/>
                <w:rFonts w:ascii="Arial" w:hAnsi="Arial" w:cs="Arial"/>
                <w:b w:val="0"/>
                <w:bCs w:val="0"/>
                <w:noProof/>
              </w:rPr>
              <w:t>The Operator Categorisation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_Toc62222144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26</w:t>
            </w:r>
            <w:r w:rsidR="00307499" w:rsidRPr="00307499">
              <w:rPr>
                <w:rFonts w:ascii="Arial" w:hAnsi="Arial" w:cs="Arial"/>
                <w:b w:val="0"/>
                <w:bCs w:val="0"/>
                <w:noProof/>
                <w:webHidden/>
              </w:rPr>
              <w:fldChar w:fldCharType="end"/>
            </w:r>
          </w:hyperlink>
        </w:p>
        <w:p w14:paraId="77BE8FCD" w14:textId="7A76FCF4"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5" w:history="1">
            <w:r w:rsidR="00307499" w:rsidRPr="00307499">
              <w:rPr>
                <w:rStyle w:val="Hyperlink"/>
                <w:rFonts w:ascii="Arial" w:hAnsi="Arial" w:cs="Arial"/>
                <w:b w:val="0"/>
                <w:bCs w:val="0"/>
                <w:noProof/>
              </w:rPr>
              <w:t>The Market Inquiry</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_Toc62222145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30</w:t>
            </w:r>
            <w:r w:rsidR="00307499" w:rsidRPr="00307499">
              <w:rPr>
                <w:rFonts w:ascii="Arial" w:hAnsi="Arial" w:cs="Arial"/>
                <w:b w:val="0"/>
                <w:bCs w:val="0"/>
                <w:noProof/>
                <w:webHidden/>
              </w:rPr>
              <w:fldChar w:fldCharType="end"/>
            </w:r>
          </w:hyperlink>
        </w:p>
        <w:p w14:paraId="649FA30E" w14:textId="09206B80"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46" w:history="1">
            <w:r w:rsidR="00307499" w:rsidRPr="00307499">
              <w:rPr>
                <w:rStyle w:val="Hyperlink"/>
                <w:rFonts w:ascii="Arial" w:hAnsi="Arial" w:cs="Arial"/>
                <w:b w:val="0"/>
                <w:bCs w:val="0"/>
                <w:noProof/>
              </w:rPr>
              <w:t>THE POTENTIAL CONSEQUENCES OF THE OPT-IN SCHEME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_Toc62222146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33</w:t>
            </w:r>
            <w:r w:rsidR="00307499" w:rsidRPr="00307499">
              <w:rPr>
                <w:rFonts w:ascii="Arial" w:hAnsi="Arial" w:cs="Arial"/>
                <w:b w:val="0"/>
                <w:bCs w:val="0"/>
                <w:noProof/>
                <w:webHidden/>
              </w:rPr>
              <w:fldChar w:fldCharType="end"/>
            </w:r>
          </w:hyperlink>
        </w:p>
        <w:p w14:paraId="5B3F4C64" w14:textId="5443551F"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47" w:history="1">
            <w:r w:rsidR="00307499" w:rsidRPr="00307499">
              <w:rPr>
                <w:rStyle w:val="Hyperlink"/>
                <w:rFonts w:ascii="Arial" w:hAnsi="Arial" w:cs="Arial"/>
                <w:b w:val="0"/>
                <w:bCs w:val="0"/>
                <w:noProof/>
              </w:rPr>
              <w:t>REVIEW GROUNDS: the OPERATOR CATEGORISATION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_Toc62222147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35</w:t>
            </w:r>
            <w:r w:rsidR="00307499" w:rsidRPr="00307499">
              <w:rPr>
                <w:rFonts w:ascii="Arial" w:hAnsi="Arial" w:cs="Arial"/>
                <w:b w:val="0"/>
                <w:bCs w:val="0"/>
                <w:noProof/>
                <w:webHidden/>
              </w:rPr>
              <w:fldChar w:fldCharType="end"/>
            </w:r>
          </w:hyperlink>
        </w:p>
        <w:p w14:paraId="26627F48" w14:textId="363F8BED"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8" w:history="1">
            <w:r w:rsidR="00307499" w:rsidRPr="00307499">
              <w:rPr>
                <w:rStyle w:val="Hyperlink"/>
                <w:rFonts w:ascii="Arial" w:hAnsi="Arial" w:cs="Arial"/>
                <w:b w:val="0"/>
                <w:bCs w:val="0"/>
                <w:noProof/>
                <w:lang w:val="en-US"/>
              </w:rPr>
              <w:t>The definitions are impermissibly vague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_Toc62222148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35</w:t>
            </w:r>
            <w:r w:rsidR="00307499" w:rsidRPr="00307499">
              <w:rPr>
                <w:rFonts w:ascii="Arial" w:hAnsi="Arial" w:cs="Arial"/>
                <w:b w:val="0"/>
                <w:bCs w:val="0"/>
                <w:noProof/>
                <w:webHidden/>
              </w:rPr>
              <w:fldChar w:fldCharType="end"/>
            </w:r>
          </w:hyperlink>
        </w:p>
        <w:p w14:paraId="2BB9B6AA" w14:textId="0CDBBD04"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49" w:history="1">
            <w:r w:rsidR="00307499" w:rsidRPr="00307499">
              <w:rPr>
                <w:rStyle w:val="Hyperlink"/>
                <w:rFonts w:ascii="Arial" w:hAnsi="Arial" w:cs="Arial"/>
                <w:b w:val="0"/>
                <w:bCs w:val="0"/>
                <w:noProof/>
                <w:lang w:val="en-ZA" w:eastAsia="en-GB"/>
              </w:rPr>
              <w:t>The categorisation is arbitrary</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_Toc62222149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36</w:t>
            </w:r>
            <w:r w:rsidR="00307499" w:rsidRPr="00307499">
              <w:rPr>
                <w:rFonts w:ascii="Arial" w:hAnsi="Arial" w:cs="Arial"/>
                <w:b w:val="0"/>
                <w:bCs w:val="0"/>
                <w:noProof/>
                <w:webHidden/>
              </w:rPr>
              <w:fldChar w:fldCharType="end"/>
            </w:r>
          </w:hyperlink>
        </w:p>
        <w:p w14:paraId="0EA15281" w14:textId="441EC762"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0" w:history="1">
            <w:r w:rsidR="00307499" w:rsidRPr="00307499">
              <w:rPr>
                <w:rStyle w:val="Hyperlink"/>
                <w:rFonts w:ascii="Arial" w:hAnsi="Arial" w:cs="Arial"/>
                <w:b w:val="0"/>
                <w:bCs w:val="0"/>
                <w:noProof/>
              </w:rPr>
              <w:t>The categorisation pre-empts the on-going Market Inquiry</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_Toc62222150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39</w:t>
            </w:r>
            <w:r w:rsidR="00307499" w:rsidRPr="00307499">
              <w:rPr>
                <w:rFonts w:ascii="Arial" w:hAnsi="Arial" w:cs="Arial"/>
                <w:b w:val="0"/>
                <w:bCs w:val="0"/>
                <w:noProof/>
                <w:webHidden/>
              </w:rPr>
              <w:fldChar w:fldCharType="end"/>
            </w:r>
          </w:hyperlink>
        </w:p>
        <w:p w14:paraId="5DE6E1EC" w14:textId="3D3324F7"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1" w:history="1">
            <w:r w:rsidR="00307499" w:rsidRPr="00307499">
              <w:rPr>
                <w:rStyle w:val="Hyperlink"/>
                <w:rFonts w:ascii="Arial" w:hAnsi="Arial" w:cs="Arial"/>
                <w:b w:val="0"/>
                <w:bCs w:val="0"/>
                <w:noProof/>
              </w:rPr>
              <w:t>Summation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_Toc62222151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40</w:t>
            </w:r>
            <w:r w:rsidR="00307499" w:rsidRPr="00307499">
              <w:rPr>
                <w:rFonts w:ascii="Arial" w:hAnsi="Arial" w:cs="Arial"/>
                <w:b w:val="0"/>
                <w:bCs w:val="0"/>
                <w:noProof/>
                <w:webHidden/>
              </w:rPr>
              <w:fldChar w:fldCharType="end"/>
            </w:r>
          </w:hyperlink>
        </w:p>
        <w:p w14:paraId="7D760A60" w14:textId="11D75C4B"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52" w:history="1">
            <w:r w:rsidR="00307499" w:rsidRPr="00307499">
              <w:rPr>
                <w:rStyle w:val="Hyperlink"/>
                <w:rFonts w:ascii="Arial" w:hAnsi="Arial" w:cs="Arial"/>
                <w:b w:val="0"/>
                <w:bCs w:val="0"/>
                <w:noProof/>
              </w:rPr>
              <w:t>REVIEW GROUNDS: THE categorisation of mtn as a tier-1 operator</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_Toc62222152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41</w:t>
            </w:r>
            <w:r w:rsidR="00307499" w:rsidRPr="00307499">
              <w:rPr>
                <w:rFonts w:ascii="Arial" w:hAnsi="Arial" w:cs="Arial"/>
                <w:b w:val="0"/>
                <w:bCs w:val="0"/>
                <w:noProof/>
                <w:webHidden/>
              </w:rPr>
              <w:fldChar w:fldCharType="end"/>
            </w:r>
          </w:hyperlink>
        </w:p>
        <w:p w14:paraId="3478F771" w14:textId="3E44A516"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53" w:history="1">
            <w:r w:rsidR="00307499" w:rsidRPr="00307499">
              <w:rPr>
                <w:rStyle w:val="Hyperlink"/>
                <w:rFonts w:ascii="Arial" w:hAnsi="Arial" w:cs="Arial"/>
                <w:b w:val="0"/>
                <w:bCs w:val="0"/>
                <w:noProof/>
              </w:rPr>
              <w:t>REVIEW GROUNDS:</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_Toc62222153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42</w:t>
            </w:r>
            <w:r w:rsidR="00307499" w:rsidRPr="00307499">
              <w:rPr>
                <w:rFonts w:ascii="Arial" w:hAnsi="Arial" w:cs="Arial"/>
                <w:b w:val="0"/>
                <w:bCs w:val="0"/>
                <w:noProof/>
                <w:webHidden/>
              </w:rPr>
              <w:fldChar w:fldCharType="end"/>
            </w:r>
          </w:hyperlink>
        </w:p>
        <w:p w14:paraId="1FB9798D" w14:textId="1E34DBDF"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54" w:history="1">
            <w:r w:rsidR="00307499" w:rsidRPr="00307499">
              <w:rPr>
                <w:rStyle w:val="Hyperlink"/>
                <w:rFonts w:ascii="Arial" w:hAnsi="Arial" w:cs="Arial"/>
                <w:b w:val="0"/>
                <w:bCs w:val="0"/>
                <w:noProof/>
              </w:rPr>
              <w:t>THE OPT-IN SCHEME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_Toc62222154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42</w:t>
            </w:r>
            <w:r w:rsidR="00307499" w:rsidRPr="00307499">
              <w:rPr>
                <w:rFonts w:ascii="Arial" w:hAnsi="Arial" w:cs="Arial"/>
                <w:b w:val="0"/>
                <w:bCs w:val="0"/>
                <w:noProof/>
                <w:webHidden/>
              </w:rPr>
              <w:fldChar w:fldCharType="end"/>
            </w:r>
          </w:hyperlink>
        </w:p>
        <w:p w14:paraId="2978E559" w14:textId="30FEA827"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5" w:history="1">
            <w:r w:rsidR="00307499" w:rsidRPr="00307499">
              <w:rPr>
                <w:rStyle w:val="Hyperlink"/>
                <w:rFonts w:ascii="Arial" w:hAnsi="Arial" w:cs="Arial"/>
                <w:b w:val="0"/>
                <w:bCs w:val="0"/>
                <w:noProof/>
              </w:rPr>
              <w:t>The Opt-In Scheme is impermissibly vague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_Toc62222155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42</w:t>
            </w:r>
            <w:r w:rsidR="00307499" w:rsidRPr="00307499">
              <w:rPr>
                <w:rFonts w:ascii="Arial" w:hAnsi="Arial" w:cs="Arial"/>
                <w:b w:val="0"/>
                <w:bCs w:val="0"/>
                <w:noProof/>
                <w:webHidden/>
              </w:rPr>
              <w:fldChar w:fldCharType="end"/>
            </w:r>
          </w:hyperlink>
        </w:p>
        <w:p w14:paraId="1E0359FB" w14:textId="30B1852F"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6" w:history="1">
            <w:r w:rsidR="00307499" w:rsidRPr="00307499">
              <w:rPr>
                <w:rStyle w:val="Hyperlink"/>
                <w:rFonts w:ascii="Arial" w:hAnsi="Arial" w:cs="Arial"/>
                <w:b w:val="0"/>
                <w:bCs w:val="0"/>
                <w:noProof/>
                <w:lang w:val="en-US"/>
              </w:rPr>
              <w:t>The Opt-In Scheme is contrary to the objectives of the ITA and is irrational</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_Toc62222156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43</w:t>
            </w:r>
            <w:r w:rsidR="00307499" w:rsidRPr="00307499">
              <w:rPr>
                <w:rFonts w:ascii="Arial" w:hAnsi="Arial" w:cs="Arial"/>
                <w:b w:val="0"/>
                <w:bCs w:val="0"/>
                <w:noProof/>
                <w:webHidden/>
              </w:rPr>
              <w:fldChar w:fldCharType="end"/>
            </w:r>
          </w:hyperlink>
        </w:p>
        <w:p w14:paraId="019FB313" w14:textId="24EFC943"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7" w:history="1">
            <w:r w:rsidR="00307499" w:rsidRPr="00307499">
              <w:rPr>
                <w:rStyle w:val="Hyperlink"/>
                <w:rFonts w:ascii="Arial" w:hAnsi="Arial" w:cs="Arial"/>
                <w:b w:val="0"/>
                <w:bCs w:val="0"/>
                <w:noProof/>
                <w:lang w:val="en-US"/>
              </w:rPr>
              <w:t>The Opt-In Scheme is based on an error of fact</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_Toc62222157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47</w:t>
            </w:r>
            <w:r w:rsidR="00307499" w:rsidRPr="00307499">
              <w:rPr>
                <w:rFonts w:ascii="Arial" w:hAnsi="Arial" w:cs="Arial"/>
                <w:b w:val="0"/>
                <w:bCs w:val="0"/>
                <w:noProof/>
                <w:webHidden/>
              </w:rPr>
              <w:fldChar w:fldCharType="end"/>
            </w:r>
          </w:hyperlink>
        </w:p>
        <w:p w14:paraId="66A59EEA" w14:textId="075F0922"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8" w:history="1">
            <w:r w:rsidR="00307499" w:rsidRPr="00307499">
              <w:rPr>
                <w:rStyle w:val="Hyperlink"/>
                <w:rFonts w:ascii="Arial" w:hAnsi="Arial" w:cs="Arial"/>
                <w:b w:val="0"/>
                <w:bCs w:val="0"/>
                <w:noProof/>
                <w:lang w:val="en-US"/>
              </w:rPr>
              <w:t>The Opt-In Scheme is disproportionate and unreasonable</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_Toc62222158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48</w:t>
            </w:r>
            <w:r w:rsidR="00307499" w:rsidRPr="00307499">
              <w:rPr>
                <w:rFonts w:ascii="Arial" w:hAnsi="Arial" w:cs="Arial"/>
                <w:b w:val="0"/>
                <w:bCs w:val="0"/>
                <w:noProof/>
                <w:webHidden/>
              </w:rPr>
              <w:fldChar w:fldCharType="end"/>
            </w:r>
          </w:hyperlink>
        </w:p>
        <w:p w14:paraId="7ACE6DFE" w14:textId="506533E0" w:rsidR="00307499" w:rsidRPr="00307499" w:rsidRDefault="002951EA" w:rsidP="00307499">
          <w:pPr>
            <w:pStyle w:val="TOC2"/>
            <w:tabs>
              <w:tab w:val="right" w:pos="9010"/>
            </w:tabs>
            <w:spacing w:before="0" w:after="120" w:line="240" w:lineRule="auto"/>
            <w:rPr>
              <w:rFonts w:ascii="Arial" w:eastAsiaTheme="minorEastAsia" w:hAnsi="Arial" w:cs="Arial"/>
              <w:b w:val="0"/>
              <w:bCs w:val="0"/>
              <w:noProof/>
              <w:sz w:val="22"/>
              <w:szCs w:val="22"/>
              <w:lang w:val="en-ZA" w:eastAsia="en-ZA"/>
            </w:rPr>
          </w:pPr>
          <w:hyperlink w:anchor="_Toc62222159" w:history="1">
            <w:r w:rsidR="00307499" w:rsidRPr="00307499">
              <w:rPr>
                <w:rStyle w:val="Hyperlink"/>
                <w:rFonts w:ascii="Arial" w:hAnsi="Arial" w:cs="Arial"/>
                <w:b w:val="0"/>
                <w:bCs w:val="0"/>
                <w:noProof/>
              </w:rPr>
              <w:t>Summation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_Toc62222159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53</w:t>
            </w:r>
            <w:r w:rsidR="00307499" w:rsidRPr="00307499">
              <w:rPr>
                <w:rFonts w:ascii="Arial" w:hAnsi="Arial" w:cs="Arial"/>
                <w:b w:val="0"/>
                <w:bCs w:val="0"/>
                <w:noProof/>
                <w:webHidden/>
              </w:rPr>
              <w:fldChar w:fldCharType="end"/>
            </w:r>
          </w:hyperlink>
        </w:p>
        <w:p w14:paraId="5C5E9FA9" w14:textId="5348017C"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60" w:history="1">
            <w:r w:rsidR="00307499" w:rsidRPr="00307499">
              <w:rPr>
                <w:rStyle w:val="Hyperlink"/>
                <w:rFonts w:ascii="Arial" w:hAnsi="Arial" w:cs="Arial"/>
                <w:b w:val="0"/>
                <w:bCs w:val="0"/>
                <w:noProof/>
              </w:rPr>
              <w:t>REMEDY</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_Toc62222160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53</w:t>
            </w:r>
            <w:r w:rsidR="00307499" w:rsidRPr="00307499">
              <w:rPr>
                <w:rFonts w:ascii="Arial" w:hAnsi="Arial" w:cs="Arial"/>
                <w:b w:val="0"/>
                <w:bCs w:val="0"/>
                <w:noProof/>
                <w:webHidden/>
              </w:rPr>
              <w:fldChar w:fldCharType="end"/>
            </w:r>
          </w:hyperlink>
        </w:p>
        <w:p w14:paraId="351FEFEF" w14:textId="459A4E61"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61" w:history="1">
            <w:r w:rsidR="00307499" w:rsidRPr="00307499">
              <w:rPr>
                <w:rStyle w:val="Hyperlink"/>
                <w:rFonts w:ascii="Arial" w:hAnsi="Arial" w:cs="Arial"/>
                <w:b w:val="0"/>
                <w:bCs w:val="0"/>
                <w:noProof/>
              </w:rPr>
              <w:t>URGENCY</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_Toc62222161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54</w:t>
            </w:r>
            <w:r w:rsidR="00307499" w:rsidRPr="00307499">
              <w:rPr>
                <w:rFonts w:ascii="Arial" w:hAnsi="Arial" w:cs="Arial"/>
                <w:b w:val="0"/>
                <w:bCs w:val="0"/>
                <w:noProof/>
                <w:webHidden/>
              </w:rPr>
              <w:fldChar w:fldCharType="end"/>
            </w:r>
          </w:hyperlink>
        </w:p>
        <w:p w14:paraId="25447FFD" w14:textId="524C3E71"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62" w:history="1">
            <w:r w:rsidR="00307499" w:rsidRPr="00307499">
              <w:rPr>
                <w:rStyle w:val="Hyperlink"/>
                <w:rFonts w:ascii="Arial" w:hAnsi="Arial" w:cs="Arial"/>
                <w:b w:val="0"/>
                <w:bCs w:val="0"/>
                <w:noProof/>
              </w:rPr>
              <w:t>TELKOM’S APPLICATION TO SET ASIDE THE ITA</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_Toc62222162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59</w:t>
            </w:r>
            <w:r w:rsidR="00307499" w:rsidRPr="00307499">
              <w:rPr>
                <w:rFonts w:ascii="Arial" w:hAnsi="Arial" w:cs="Arial"/>
                <w:b w:val="0"/>
                <w:bCs w:val="0"/>
                <w:noProof/>
                <w:webHidden/>
              </w:rPr>
              <w:fldChar w:fldCharType="end"/>
            </w:r>
          </w:hyperlink>
        </w:p>
        <w:p w14:paraId="4FEED06B" w14:textId="59F09F49" w:rsidR="00307499" w:rsidRPr="00307499" w:rsidRDefault="002951EA" w:rsidP="00307499">
          <w:pPr>
            <w:pStyle w:val="TOC1"/>
            <w:tabs>
              <w:tab w:val="right" w:pos="9010"/>
            </w:tabs>
            <w:spacing w:before="0" w:after="120" w:line="240" w:lineRule="auto"/>
            <w:rPr>
              <w:rFonts w:ascii="Arial" w:eastAsiaTheme="minorEastAsia" w:hAnsi="Arial" w:cs="Arial"/>
              <w:b w:val="0"/>
              <w:bCs w:val="0"/>
              <w:caps w:val="0"/>
              <w:noProof/>
              <w:sz w:val="22"/>
              <w:szCs w:val="22"/>
              <w:lang w:val="en-ZA" w:eastAsia="en-ZA"/>
            </w:rPr>
          </w:pPr>
          <w:hyperlink w:anchor="_Toc62222163" w:history="1">
            <w:r w:rsidR="00307499" w:rsidRPr="00307499">
              <w:rPr>
                <w:rStyle w:val="Hyperlink"/>
                <w:rFonts w:ascii="Arial" w:hAnsi="Arial" w:cs="Arial"/>
                <w:b w:val="0"/>
                <w:bCs w:val="0"/>
                <w:noProof/>
              </w:rPr>
              <w:t>CONCLUSION</w:t>
            </w:r>
            <w:r w:rsidR="00307499" w:rsidRPr="00307499">
              <w:rPr>
                <w:rFonts w:ascii="Arial" w:hAnsi="Arial" w:cs="Arial"/>
                <w:b w:val="0"/>
                <w:bCs w:val="0"/>
                <w:noProof/>
                <w:webHidden/>
              </w:rPr>
              <w:tab/>
            </w:r>
            <w:r w:rsidR="00307499" w:rsidRPr="00307499">
              <w:rPr>
                <w:rFonts w:ascii="Arial" w:hAnsi="Arial" w:cs="Arial"/>
                <w:b w:val="0"/>
                <w:bCs w:val="0"/>
                <w:noProof/>
                <w:webHidden/>
              </w:rPr>
              <w:fldChar w:fldCharType="begin"/>
            </w:r>
            <w:r w:rsidR="00307499" w:rsidRPr="00307499">
              <w:rPr>
                <w:rFonts w:ascii="Arial" w:hAnsi="Arial" w:cs="Arial"/>
                <w:b w:val="0"/>
                <w:bCs w:val="0"/>
                <w:noProof/>
                <w:webHidden/>
              </w:rPr>
              <w:instrText xml:space="preserve"> PAGEREF _Toc62222163 \h </w:instrText>
            </w:r>
            <w:r w:rsidR="00307499" w:rsidRPr="00307499">
              <w:rPr>
                <w:rFonts w:ascii="Arial" w:hAnsi="Arial" w:cs="Arial"/>
                <w:b w:val="0"/>
                <w:bCs w:val="0"/>
                <w:noProof/>
                <w:webHidden/>
              </w:rPr>
            </w:r>
            <w:r w:rsidR="00307499" w:rsidRPr="00307499">
              <w:rPr>
                <w:rFonts w:ascii="Arial" w:hAnsi="Arial" w:cs="Arial"/>
                <w:b w:val="0"/>
                <w:bCs w:val="0"/>
                <w:noProof/>
                <w:webHidden/>
              </w:rPr>
              <w:fldChar w:fldCharType="separate"/>
            </w:r>
            <w:r w:rsidR="00307499" w:rsidRPr="00307499">
              <w:rPr>
                <w:rFonts w:ascii="Arial" w:hAnsi="Arial" w:cs="Arial"/>
                <w:b w:val="0"/>
                <w:bCs w:val="0"/>
                <w:noProof/>
                <w:webHidden/>
              </w:rPr>
              <w:t>60</w:t>
            </w:r>
            <w:r w:rsidR="00307499" w:rsidRPr="00307499">
              <w:rPr>
                <w:rFonts w:ascii="Arial" w:hAnsi="Arial" w:cs="Arial"/>
                <w:b w:val="0"/>
                <w:bCs w:val="0"/>
                <w:noProof/>
                <w:webHidden/>
              </w:rPr>
              <w:fldChar w:fldCharType="end"/>
            </w:r>
          </w:hyperlink>
        </w:p>
        <w:p w14:paraId="043608F1" w14:textId="3B0FB2DA" w:rsidR="00B23DDA" w:rsidRPr="00307499" w:rsidRDefault="00307499" w:rsidP="00307499">
          <w:pPr>
            <w:spacing w:before="0" w:after="120" w:line="240" w:lineRule="auto"/>
            <w:rPr>
              <w:rFonts w:cs="Arial"/>
            </w:rPr>
          </w:pPr>
          <w:r w:rsidRPr="00307499">
            <w:rPr>
              <w:rFonts w:cs="Arial"/>
              <w:caps/>
            </w:rPr>
            <w:fldChar w:fldCharType="end"/>
          </w:r>
        </w:p>
      </w:sdtContent>
    </w:sdt>
    <w:p w14:paraId="349F4BBA" w14:textId="5E28E514" w:rsidR="00B23DDA" w:rsidRPr="00E254A1" w:rsidRDefault="00B23DDA" w:rsidP="00483035">
      <w:pPr>
        <w:rPr>
          <w:rFonts w:cs="Arial"/>
        </w:rPr>
      </w:pPr>
    </w:p>
    <w:p w14:paraId="61E9072E" w14:textId="43C56486" w:rsidR="00B23DDA" w:rsidRDefault="00B23DDA" w:rsidP="00483035"/>
    <w:p w14:paraId="42D5EA01" w14:textId="77777777" w:rsidR="00B23DDA" w:rsidRPr="004C7398" w:rsidRDefault="00B23DDA" w:rsidP="00E344B9">
      <w:pPr>
        <w:spacing w:before="0" w:after="0" w:line="240" w:lineRule="auto"/>
        <w:jc w:val="left"/>
      </w:pPr>
    </w:p>
    <w:p w14:paraId="6B4CCB17" w14:textId="2424692E" w:rsidR="00561CDD" w:rsidRPr="004C7398" w:rsidRDefault="00561CDD" w:rsidP="00561CDD">
      <w:r w:rsidRPr="004C7398">
        <w:lastRenderedPageBreak/>
        <w:t xml:space="preserve">I, the undersigned, </w:t>
      </w:r>
    </w:p>
    <w:p w14:paraId="7C1814EF" w14:textId="2610DAF2" w:rsidR="00561CDD" w:rsidRPr="004C7398" w:rsidRDefault="00105446" w:rsidP="00561CDD">
      <w:pPr>
        <w:spacing w:before="600" w:after="600"/>
        <w:jc w:val="center"/>
        <w:rPr>
          <w:b/>
        </w:rPr>
      </w:pPr>
      <w:r>
        <w:rPr>
          <w:b/>
        </w:rPr>
        <w:t>MOSES MUXE MASHISANE</w:t>
      </w:r>
    </w:p>
    <w:p w14:paraId="590BE6DD" w14:textId="062092DE" w:rsidR="00561CDD" w:rsidRDefault="00561CDD" w:rsidP="00561CDD">
      <w:r w:rsidRPr="004C7398">
        <w:t xml:space="preserve">do hereby make oath and say: </w:t>
      </w:r>
    </w:p>
    <w:p w14:paraId="2AAF00C7" w14:textId="77777777" w:rsidR="007A7433" w:rsidRPr="007A7433" w:rsidRDefault="007A7433" w:rsidP="00561CDD"/>
    <w:p w14:paraId="38A487B3" w14:textId="279C3C12" w:rsidR="00561CDD" w:rsidRPr="004C7398" w:rsidRDefault="00561CDD" w:rsidP="006E2522">
      <w:pPr>
        <w:pStyle w:val="1"/>
      </w:pPr>
      <w:r w:rsidRPr="004C7398">
        <w:t xml:space="preserve">I am the </w:t>
      </w:r>
      <w:r w:rsidR="00105446" w:rsidRPr="00105446">
        <w:t>General Manager: Legal and Regulatory</w:t>
      </w:r>
      <w:r w:rsidRPr="004C7398">
        <w:t xml:space="preserve"> of the </w:t>
      </w:r>
      <w:r w:rsidR="00242DCB" w:rsidRPr="004C7398">
        <w:t>applicant</w:t>
      </w:r>
      <w:r w:rsidRPr="004C7398">
        <w:t xml:space="preserve">, </w:t>
      </w:r>
      <w:r w:rsidR="00242DCB" w:rsidRPr="004C7398">
        <w:t>Mobile Telephone Networks (Pty) Ltd.</w:t>
      </w:r>
    </w:p>
    <w:p w14:paraId="1AF6A895" w14:textId="4F151357" w:rsidR="00561CDD" w:rsidRPr="004C7398" w:rsidRDefault="00561CDD" w:rsidP="006E2522">
      <w:pPr>
        <w:pStyle w:val="1"/>
      </w:pPr>
      <w:r w:rsidRPr="004C7398">
        <w:t xml:space="preserve">The contents of this affidavit are within my personal knowledge, unless the context indicates otherwise, and are to the best of my belief true. </w:t>
      </w:r>
    </w:p>
    <w:p w14:paraId="03AE2BB5" w14:textId="223141E7" w:rsidR="006B5647" w:rsidRPr="004C7398" w:rsidRDefault="00561CDD" w:rsidP="006E2522">
      <w:pPr>
        <w:pStyle w:val="1"/>
      </w:pPr>
      <w:r w:rsidRPr="004C7398">
        <w:t xml:space="preserve">I am </w:t>
      </w:r>
      <w:r w:rsidR="00E74934">
        <w:t xml:space="preserve">duly </w:t>
      </w:r>
      <w:r w:rsidRPr="004C7398">
        <w:t xml:space="preserve">authorised to bring this application and to depose to this affidavit on </w:t>
      </w:r>
      <w:r w:rsidR="00D260C4" w:rsidRPr="004C7398">
        <w:t>MTN</w:t>
      </w:r>
      <w:r w:rsidRPr="004C7398">
        <w:t>’s behalf</w:t>
      </w:r>
      <w:r w:rsidR="00E74934">
        <w:t>.</w:t>
      </w:r>
    </w:p>
    <w:p w14:paraId="07B2616D" w14:textId="74579BCF" w:rsidR="006135C9" w:rsidRDefault="006135C9">
      <w:pPr>
        <w:pStyle w:val="Heading1"/>
      </w:pPr>
      <w:bookmarkStart w:id="0" w:name="_Toc62222136"/>
      <w:r>
        <w:t>PARTIES</w:t>
      </w:r>
      <w:bookmarkEnd w:id="0"/>
    </w:p>
    <w:p w14:paraId="29D8F8D5" w14:textId="77777777" w:rsidR="005B1BF3" w:rsidRDefault="005B1BF3" w:rsidP="006E2522">
      <w:pPr>
        <w:pStyle w:val="1"/>
      </w:pPr>
      <w:r>
        <w:t xml:space="preserve">The </w:t>
      </w:r>
      <w:r w:rsidRPr="00C064BA">
        <w:t>applicant</w:t>
      </w:r>
      <w:r>
        <w:t xml:space="preserve"> is </w:t>
      </w:r>
      <w:r w:rsidRPr="000A74C3">
        <w:rPr>
          <w:b/>
          <w:bCs/>
        </w:rPr>
        <w:t>MOBILE TELEPHONE NETWORKS (PTY) LTD</w:t>
      </w:r>
      <w:r>
        <w:t xml:space="preserve"> (“</w:t>
      </w:r>
      <w:r w:rsidRPr="00563F33">
        <w:rPr>
          <w:b/>
        </w:rPr>
        <w:t>MTN</w:t>
      </w:r>
      <w:r>
        <w:t>”).  MTN is a company incorporated in terms of the company laws of South Africa with its principal place of business at 216 14</w:t>
      </w:r>
      <w:r w:rsidRPr="003B7927">
        <w:rPr>
          <w:vertAlign w:val="superscript"/>
        </w:rPr>
        <w:t>th</w:t>
      </w:r>
      <w:r>
        <w:t xml:space="preserve"> Avenue, Fairland, Roodepoort.</w:t>
      </w:r>
    </w:p>
    <w:p w14:paraId="0BC0BE15" w14:textId="56B9FF54" w:rsidR="005B1BF3" w:rsidRDefault="005B1BF3" w:rsidP="006E2522">
      <w:pPr>
        <w:pStyle w:val="1"/>
      </w:pPr>
      <w:r>
        <w:t xml:space="preserve">The first respondent is </w:t>
      </w:r>
      <w:r w:rsidRPr="007A7433">
        <w:rPr>
          <w:b/>
          <w:bCs/>
        </w:rPr>
        <w:t>THE</w:t>
      </w:r>
      <w:r w:rsidRPr="000A74C3">
        <w:t xml:space="preserve"> </w:t>
      </w:r>
      <w:r w:rsidRPr="00140C60">
        <w:rPr>
          <w:b/>
          <w:bCs/>
        </w:rPr>
        <w:t>INDEPENDENT COMMUNICATIONS AUTHORITY OF SOUTH AFRICA</w:t>
      </w:r>
      <w:r>
        <w:t xml:space="preserve"> (“</w:t>
      </w:r>
      <w:r w:rsidRPr="00140C60">
        <w:rPr>
          <w:b/>
          <w:bCs/>
        </w:rPr>
        <w:t>ICASA</w:t>
      </w:r>
      <w:r>
        <w:t>”)</w:t>
      </w:r>
      <w:r w:rsidR="00E74934">
        <w:t>:</w:t>
      </w:r>
    </w:p>
    <w:p w14:paraId="2F946B10" w14:textId="77777777" w:rsidR="005B1BF3" w:rsidRDefault="005B1BF3" w:rsidP="006E2522">
      <w:pPr>
        <w:pStyle w:val="2"/>
      </w:pPr>
      <w:r>
        <w:t xml:space="preserve">ICASA is a juristic person, established as such in terms of section 3 of the Independent Communications Authority of South Africa Act 13 of 2000.  </w:t>
      </w:r>
    </w:p>
    <w:p w14:paraId="0260E759" w14:textId="77777777" w:rsidR="00E74934" w:rsidRDefault="005B1BF3" w:rsidP="006E2522">
      <w:pPr>
        <w:pStyle w:val="2"/>
      </w:pPr>
      <w:r>
        <w:lastRenderedPageBreak/>
        <w:t xml:space="preserve">ICASA’s </w:t>
      </w:r>
      <w:r w:rsidR="00033399">
        <w:t>registered offices are at 350 Witch-Hazel Avenue, Eco-Park Estate, Centurion</w:t>
      </w:r>
      <w:r>
        <w:t xml:space="preserve">.  </w:t>
      </w:r>
    </w:p>
    <w:p w14:paraId="2F1E20A4" w14:textId="6CAB9965" w:rsidR="005B1BF3" w:rsidRDefault="005B1BF3" w:rsidP="006E2522">
      <w:pPr>
        <w:pStyle w:val="2"/>
      </w:pPr>
      <w:r>
        <w:t>ICASA made the decision</w:t>
      </w:r>
      <w:r w:rsidR="007247E4">
        <w:t>s</w:t>
      </w:r>
      <w:r>
        <w:t xml:space="preserve"> that form</w:t>
      </w:r>
      <w:r w:rsidR="007247E4">
        <w:t xml:space="preserve"> </w:t>
      </w:r>
      <w:r>
        <w:t>the subject matter of the present review</w:t>
      </w:r>
      <w:r w:rsidR="00D465B3">
        <w:t xml:space="preserve"> application.</w:t>
      </w:r>
    </w:p>
    <w:p w14:paraId="2BA67EAD" w14:textId="21A6A59B" w:rsidR="009A71FC" w:rsidRPr="000A74C3" w:rsidRDefault="009A71FC" w:rsidP="006E2522">
      <w:pPr>
        <w:pStyle w:val="1"/>
      </w:pPr>
      <w:r w:rsidRPr="000A74C3">
        <w:t xml:space="preserve">The </w:t>
      </w:r>
      <w:r w:rsidR="00E74934">
        <w:t>second</w:t>
      </w:r>
      <w:r w:rsidR="00E74934" w:rsidRPr="000A74C3">
        <w:t xml:space="preserve"> </w:t>
      </w:r>
      <w:r w:rsidRPr="000A74C3">
        <w:t xml:space="preserve">respondent is the </w:t>
      </w:r>
      <w:r w:rsidRPr="000A74C3">
        <w:rPr>
          <w:b/>
          <w:bCs/>
        </w:rPr>
        <w:t>MIN</w:t>
      </w:r>
      <w:r w:rsidR="00A11B8E">
        <w:rPr>
          <w:b/>
          <w:bCs/>
        </w:rPr>
        <w:t>I</w:t>
      </w:r>
      <w:r w:rsidRPr="000A74C3">
        <w:rPr>
          <w:b/>
          <w:bCs/>
        </w:rPr>
        <w:t>ST</w:t>
      </w:r>
      <w:r w:rsidR="000A74C3" w:rsidRPr="000A74C3">
        <w:rPr>
          <w:b/>
          <w:bCs/>
        </w:rPr>
        <w:t xml:space="preserve">ER OF COMMUNICATIONS AND DIGITAL TECHNOLOGIES </w:t>
      </w:r>
      <w:r w:rsidR="000A74C3" w:rsidRPr="000A74C3">
        <w:t>(“</w:t>
      </w:r>
      <w:r w:rsidR="000A74C3" w:rsidRPr="000A74C3">
        <w:rPr>
          <w:b/>
          <w:bCs/>
        </w:rPr>
        <w:t>the Minister</w:t>
      </w:r>
      <w:r w:rsidR="000A74C3" w:rsidRPr="000A74C3">
        <w:t xml:space="preserve">”).  The Minister is cited in her capacity as the responsible Minister under the Electronic Communications Act.  The Minister’s offices are at </w:t>
      </w:r>
      <w:proofErr w:type="spellStart"/>
      <w:r w:rsidR="000A74C3" w:rsidRPr="000A74C3">
        <w:t>iParioli</w:t>
      </w:r>
      <w:proofErr w:type="spellEnd"/>
      <w:r w:rsidR="000A74C3" w:rsidRPr="000A74C3">
        <w:t xml:space="preserve"> Office Park, 1166, Park Street, Hatfie</w:t>
      </w:r>
      <w:r w:rsidR="00AA1F3D">
        <w:t>l</w:t>
      </w:r>
      <w:r w:rsidR="000A74C3" w:rsidRPr="000A74C3">
        <w:t xml:space="preserve">d, Pretoria.  The application will also be served on the Office of the State Attorney, Pretoria, Ground Floor, SALU Building, 316 Thabo Sehume Street, Gauteng. </w:t>
      </w:r>
    </w:p>
    <w:p w14:paraId="31D70A45" w14:textId="0C1105D4" w:rsidR="005B1BF3" w:rsidRPr="006C4907" w:rsidRDefault="005B1BF3" w:rsidP="006E2522">
      <w:pPr>
        <w:pStyle w:val="1"/>
      </w:pPr>
      <w:r>
        <w:t xml:space="preserve">The </w:t>
      </w:r>
      <w:r w:rsidR="00E74934">
        <w:t xml:space="preserve">third </w:t>
      </w:r>
      <w:r>
        <w:t xml:space="preserve">respondent is </w:t>
      </w:r>
      <w:r w:rsidR="00FC38C6" w:rsidRPr="000A74C3">
        <w:rPr>
          <w:b/>
          <w:bCs/>
        </w:rPr>
        <w:t>TELKOM SOC LTD</w:t>
      </w:r>
      <w:r w:rsidR="00FC38C6">
        <w:t xml:space="preserve"> (“</w:t>
      </w:r>
      <w:r w:rsidR="00FC38C6">
        <w:rPr>
          <w:b/>
        </w:rPr>
        <w:t>Telkom</w:t>
      </w:r>
      <w:r w:rsidR="00FC38C6">
        <w:t>”), a company duly incorporated in terms of the company laws of South Africa with its registered address at Highveld Techno Park, 61 Oak Avenue, Centurion Gauteng</w:t>
      </w:r>
      <w:r w:rsidR="00FC38C6">
        <w:rPr>
          <w:b/>
          <w:bCs/>
        </w:rPr>
        <w:t xml:space="preserve">. </w:t>
      </w:r>
    </w:p>
    <w:p w14:paraId="21B1D8FA" w14:textId="5B13A233" w:rsidR="005B1BF3" w:rsidRPr="003B7927" w:rsidRDefault="005B1BF3" w:rsidP="006E2522">
      <w:pPr>
        <w:pStyle w:val="1"/>
      </w:pPr>
      <w:r>
        <w:t xml:space="preserve">The </w:t>
      </w:r>
      <w:r w:rsidR="00E74934">
        <w:t xml:space="preserve">fourth </w:t>
      </w:r>
      <w:r>
        <w:t xml:space="preserve">respondent </w:t>
      </w:r>
      <w:r w:rsidR="00FC38C6">
        <w:t>is</w:t>
      </w:r>
      <w:r w:rsidR="00FC38C6" w:rsidRPr="000A74C3">
        <w:rPr>
          <w:b/>
          <w:bCs/>
        </w:rPr>
        <w:t xml:space="preserve"> VODACOM (PTY) LTD</w:t>
      </w:r>
      <w:r w:rsidR="00FC38C6">
        <w:t xml:space="preserve"> (“</w:t>
      </w:r>
      <w:r w:rsidR="00FC38C6" w:rsidRPr="00563F33">
        <w:rPr>
          <w:b/>
        </w:rPr>
        <w:t>Vodacom</w:t>
      </w:r>
      <w:r w:rsidR="00FC38C6">
        <w:t xml:space="preserve">”), a company duly incorporated in terms of the company laws of South Africa with its principal place of business at Vodacom Corporate Park, 082 Vodacom Boulevard, </w:t>
      </w:r>
      <w:proofErr w:type="spellStart"/>
      <w:r w:rsidR="00FC38C6">
        <w:t>Vodavalley</w:t>
      </w:r>
      <w:proofErr w:type="spellEnd"/>
      <w:r w:rsidR="00FC38C6">
        <w:t xml:space="preserve">, </w:t>
      </w:r>
      <w:proofErr w:type="spellStart"/>
      <w:r w:rsidR="00FC38C6">
        <w:t>Midrand</w:t>
      </w:r>
      <w:proofErr w:type="spellEnd"/>
      <w:r w:rsidR="00FC38C6">
        <w:t>, Gauteng.</w:t>
      </w:r>
    </w:p>
    <w:p w14:paraId="2BC8FA8F" w14:textId="5E35FDEF" w:rsidR="005B1BF3" w:rsidRDefault="005B1BF3" w:rsidP="006E2522">
      <w:pPr>
        <w:pStyle w:val="1"/>
      </w:pPr>
      <w:r>
        <w:t xml:space="preserve">The </w:t>
      </w:r>
      <w:r w:rsidR="00E74934">
        <w:t xml:space="preserve">fifth </w:t>
      </w:r>
      <w:r>
        <w:t xml:space="preserve">respondent is </w:t>
      </w:r>
      <w:r w:rsidRPr="000A74C3">
        <w:rPr>
          <w:b/>
          <w:bCs/>
        </w:rPr>
        <w:t>CELL C (PTY) LTD</w:t>
      </w:r>
      <w:r>
        <w:t xml:space="preserve"> (“</w:t>
      </w:r>
      <w:r w:rsidRPr="009F4ED8">
        <w:rPr>
          <w:b/>
        </w:rPr>
        <w:t>Cell C</w:t>
      </w:r>
      <w:r>
        <w:t xml:space="preserve">”), a company duly incorporated in terms of the company laws of South Africa with its registered head office at </w:t>
      </w:r>
      <w:r w:rsidR="00584E4A">
        <w:t xml:space="preserve">Waterfall Campus, </w:t>
      </w:r>
      <w:proofErr w:type="spellStart"/>
      <w:r w:rsidR="00584E4A">
        <w:t>Cnr</w:t>
      </w:r>
      <w:proofErr w:type="spellEnd"/>
      <w:r w:rsidR="00584E4A">
        <w:t xml:space="preserve"> of Maxwell Drive and Pretoria Main Road, Buccleuch, Ext 10</w:t>
      </w:r>
      <w:r>
        <w:t xml:space="preserve">.  </w:t>
      </w:r>
    </w:p>
    <w:p w14:paraId="674745A7" w14:textId="51167A8F" w:rsidR="005B1BF3" w:rsidRPr="00B02E48" w:rsidRDefault="005B1BF3" w:rsidP="006E2522">
      <w:pPr>
        <w:pStyle w:val="1"/>
      </w:pPr>
      <w:r w:rsidRPr="00B02E48">
        <w:lastRenderedPageBreak/>
        <w:t xml:space="preserve">The </w:t>
      </w:r>
      <w:r w:rsidR="00E74934">
        <w:t>sixth</w:t>
      </w:r>
      <w:r w:rsidR="00E74934" w:rsidRPr="00B02E48">
        <w:t xml:space="preserve"> </w:t>
      </w:r>
      <w:r w:rsidRPr="00B02E48">
        <w:t xml:space="preserve">respondent is </w:t>
      </w:r>
      <w:r w:rsidR="007C5AF5" w:rsidRPr="000A74C3">
        <w:rPr>
          <w:b/>
          <w:bCs/>
        </w:rPr>
        <w:t xml:space="preserve">LIQUID TELECOMMUNICATIONS SOUTH AFRICA (PTY) LTD </w:t>
      </w:r>
      <w:r w:rsidR="007C5AF5">
        <w:t>(“</w:t>
      </w:r>
      <w:r w:rsidR="007C5AF5" w:rsidRPr="000A74C3">
        <w:rPr>
          <w:b/>
          <w:bCs/>
        </w:rPr>
        <w:t>Liquid</w:t>
      </w:r>
      <w:r w:rsidR="007C5AF5">
        <w:t xml:space="preserve">”), a company duly incorporated in terms of the company laws of South Africa with its registered head office at 401 Old Pretoria Main Road, Halfway House, </w:t>
      </w:r>
      <w:proofErr w:type="spellStart"/>
      <w:r w:rsidR="007C5AF5">
        <w:t>Midrand</w:t>
      </w:r>
      <w:proofErr w:type="spellEnd"/>
      <w:r w:rsidR="007C5AF5">
        <w:t xml:space="preserve">, Gauteng. </w:t>
      </w:r>
    </w:p>
    <w:p w14:paraId="176A623C" w14:textId="59394584" w:rsidR="005B1BF3" w:rsidRPr="001A5037" w:rsidRDefault="005B1BF3" w:rsidP="006E2522">
      <w:pPr>
        <w:pStyle w:val="1"/>
      </w:pPr>
      <w:r>
        <w:t xml:space="preserve">The </w:t>
      </w:r>
      <w:r w:rsidR="00E74934">
        <w:t xml:space="preserve">seventh </w:t>
      </w:r>
      <w:r>
        <w:t>respondent is</w:t>
      </w:r>
      <w:r w:rsidR="007C5AF5">
        <w:t xml:space="preserve"> </w:t>
      </w:r>
      <w:r w:rsidR="007C5AF5" w:rsidRPr="000A74C3">
        <w:rPr>
          <w:b/>
          <w:bCs/>
        </w:rPr>
        <w:t>WIRELESS BUSINESS SOLUTION (PTY) LTD T/A RAIN</w:t>
      </w:r>
      <w:r w:rsidR="007C5AF5" w:rsidRPr="00B02E48">
        <w:t xml:space="preserve"> (“</w:t>
      </w:r>
      <w:r w:rsidR="007C5AF5" w:rsidRPr="004F18C6">
        <w:rPr>
          <w:b/>
        </w:rPr>
        <w:t>Rain</w:t>
      </w:r>
      <w:r w:rsidR="007C5AF5" w:rsidRPr="00B02E48">
        <w:t xml:space="preserve">”), a company duly incorporated in terms of the company laws of South Africa with its registered address at </w:t>
      </w:r>
      <w:r w:rsidR="007C5AF5">
        <w:t xml:space="preserve">The Main Straight, 392 Main </w:t>
      </w:r>
      <w:proofErr w:type="gramStart"/>
      <w:r w:rsidR="007C5AF5">
        <w:t>Road Block</w:t>
      </w:r>
      <w:proofErr w:type="gramEnd"/>
      <w:r w:rsidR="007C5AF5">
        <w:t xml:space="preserve"> D, Bryanston, Gauteng</w:t>
      </w:r>
      <w:r w:rsidR="007C5AF5" w:rsidRPr="00B02E48">
        <w:t>.</w:t>
      </w:r>
      <w:r>
        <w:t xml:space="preserve"> </w:t>
      </w:r>
    </w:p>
    <w:p w14:paraId="6C3DA4E0" w14:textId="16BD99A1" w:rsidR="006135C9" w:rsidRPr="006135C9" w:rsidRDefault="00B3420A" w:rsidP="006E2522">
      <w:pPr>
        <w:pStyle w:val="1"/>
      </w:pPr>
      <w:r>
        <w:t xml:space="preserve">I understand from </w:t>
      </w:r>
      <w:r w:rsidR="00E74934">
        <w:t xml:space="preserve">a </w:t>
      </w:r>
      <w:r>
        <w:t xml:space="preserve">media statement </w:t>
      </w:r>
      <w:r w:rsidR="000C6C61">
        <w:t xml:space="preserve">of </w:t>
      </w:r>
      <w:r>
        <w:t xml:space="preserve">ICASA that </w:t>
      </w:r>
      <w:r w:rsidR="007247E4">
        <w:t xml:space="preserve">ICASA </w:t>
      </w:r>
      <w:r>
        <w:t xml:space="preserve">received and accepted bids from the </w:t>
      </w:r>
      <w:r w:rsidR="00E74934">
        <w:t xml:space="preserve">third </w:t>
      </w:r>
      <w:r w:rsidR="00B967C0">
        <w:t xml:space="preserve">to </w:t>
      </w:r>
      <w:r w:rsidR="00E74934">
        <w:t xml:space="preserve">seventh </w:t>
      </w:r>
      <w:r w:rsidR="00B967C0">
        <w:t>respondents</w:t>
      </w:r>
      <w:r w:rsidR="00D465B3">
        <w:t xml:space="preserve"> in response to the ITA that I describe in the next paragraph</w:t>
      </w:r>
      <w:r w:rsidR="00B967C0">
        <w:t>.</w:t>
      </w:r>
      <w:r w:rsidR="00860CA4">
        <w:t xml:space="preserve">  </w:t>
      </w:r>
      <w:r>
        <w:t xml:space="preserve">As prospective bidders under the ITA, </w:t>
      </w:r>
      <w:r w:rsidR="00D465B3">
        <w:t xml:space="preserve">the third to seventh respondents </w:t>
      </w:r>
      <w:r w:rsidR="00860CA4">
        <w:t xml:space="preserve">are parties </w:t>
      </w:r>
      <w:r w:rsidR="00D465B3">
        <w:t xml:space="preserve">who may have interest in the relief sought </w:t>
      </w:r>
      <w:r w:rsidR="00860CA4">
        <w:t xml:space="preserve">in this application. </w:t>
      </w:r>
      <w:r w:rsidR="00E74934">
        <w:t xml:space="preserve"> </w:t>
      </w:r>
      <w:r w:rsidR="00D465B3">
        <w:t xml:space="preserve">No </w:t>
      </w:r>
      <w:r w:rsidR="00E74934">
        <w:t xml:space="preserve">relief is sought </w:t>
      </w:r>
      <w:r w:rsidR="005B1BF3">
        <w:t xml:space="preserve">against the </w:t>
      </w:r>
      <w:r w:rsidR="00E74934">
        <w:t xml:space="preserve">third </w:t>
      </w:r>
      <w:r w:rsidR="005B1BF3">
        <w:t xml:space="preserve">to </w:t>
      </w:r>
      <w:r w:rsidR="00E74934">
        <w:t xml:space="preserve">seventh </w:t>
      </w:r>
      <w:r w:rsidR="005B1BF3">
        <w:t>respondents</w:t>
      </w:r>
      <w:r w:rsidR="007A7433">
        <w:t>,</w:t>
      </w:r>
      <w:r w:rsidR="005B1BF3">
        <w:t xml:space="preserve"> save for a costs order in the event of opposition</w:t>
      </w:r>
      <w:r w:rsidR="006135C9">
        <w:t>.</w:t>
      </w:r>
    </w:p>
    <w:p w14:paraId="2E059382" w14:textId="4773F760" w:rsidR="00375FBA" w:rsidRDefault="00B50F5E">
      <w:pPr>
        <w:pStyle w:val="Heading1"/>
      </w:pPr>
      <w:bookmarkStart w:id="1" w:name="_Toc62222137"/>
      <w:r>
        <w:t>overview of this application</w:t>
      </w:r>
      <w:bookmarkEnd w:id="1"/>
    </w:p>
    <w:p w14:paraId="18898F8A" w14:textId="02BB65F9" w:rsidR="00375FBA" w:rsidRPr="004C7398" w:rsidRDefault="00375FBA" w:rsidP="006E2522">
      <w:pPr>
        <w:pStyle w:val="1"/>
      </w:pPr>
      <w:r w:rsidRPr="004C7398">
        <w:t>On 2 October 2020</w:t>
      </w:r>
      <w:r w:rsidR="006A35F5">
        <w:t>,</w:t>
      </w:r>
      <w:r w:rsidRPr="004C7398">
        <w:t xml:space="preserve"> ICASA published </w:t>
      </w:r>
      <w:r w:rsidR="0069164B">
        <w:t>an</w:t>
      </w:r>
      <w:r w:rsidR="0069164B" w:rsidRPr="004C7398">
        <w:t xml:space="preserve"> </w:t>
      </w:r>
      <w:r w:rsidRPr="004C7398">
        <w:t xml:space="preserve">invitation to apply for the Licensing Process for International Mobile Telecommunications in respect of the provision of Mobile Broadband Wireless Access Services for Urban and Rural areas using the complimentary bands, IMT700, IMT800, IMT2600 and IMT3500 </w:t>
      </w:r>
      <w:r w:rsidRPr="00AF7FD2">
        <w:t>(“</w:t>
      </w:r>
      <w:r w:rsidR="006A35F5" w:rsidRPr="00E344B9">
        <w:rPr>
          <w:b/>
          <w:bCs/>
        </w:rPr>
        <w:t>the</w:t>
      </w:r>
      <w:r w:rsidR="006A35F5">
        <w:t xml:space="preserve"> </w:t>
      </w:r>
      <w:r w:rsidRPr="004C7398">
        <w:rPr>
          <w:b/>
          <w:bCs/>
        </w:rPr>
        <w:t>ITA</w:t>
      </w:r>
      <w:r w:rsidRPr="00AF7FD2">
        <w:t>”)</w:t>
      </w:r>
      <w:r w:rsidR="0069164B">
        <w:rPr>
          <w:b/>
          <w:bCs/>
        </w:rPr>
        <w:t xml:space="preserve">. </w:t>
      </w:r>
      <w:r w:rsidR="007A7433">
        <w:rPr>
          <w:b/>
          <w:bCs/>
        </w:rPr>
        <w:t xml:space="preserve"> </w:t>
      </w:r>
      <w:r w:rsidR="0069164B" w:rsidRPr="00E344B9">
        <w:t>Annexure</w:t>
      </w:r>
      <w:r w:rsidR="0069164B">
        <w:rPr>
          <w:b/>
          <w:bCs/>
        </w:rPr>
        <w:t xml:space="preserve"> </w:t>
      </w:r>
      <w:r w:rsidR="001A49A2">
        <w:rPr>
          <w:b/>
          <w:bCs/>
        </w:rPr>
        <w:t xml:space="preserve">MMM1 </w:t>
      </w:r>
      <w:r w:rsidR="0069164B" w:rsidRPr="00E344B9">
        <w:t>is a copy of the ITA.</w:t>
      </w:r>
    </w:p>
    <w:p w14:paraId="21DDBEC1" w14:textId="67726A0A" w:rsidR="006354BC" w:rsidRDefault="006354BC" w:rsidP="006E2522">
      <w:pPr>
        <w:pStyle w:val="1"/>
      </w:pPr>
      <w:r>
        <w:t xml:space="preserve">The </w:t>
      </w:r>
      <w:r w:rsidR="0096687F">
        <w:t>licen</w:t>
      </w:r>
      <w:r w:rsidR="006A35F5">
        <w:t>s</w:t>
      </w:r>
      <w:r w:rsidR="0096687F">
        <w:t xml:space="preserve">ing process prescribed in the ITA will take the form of </w:t>
      </w:r>
      <w:r w:rsidR="00F04632">
        <w:t xml:space="preserve">a </w:t>
      </w:r>
      <w:r w:rsidR="0096687F">
        <w:t xml:space="preserve">spectrum auction.  </w:t>
      </w:r>
      <w:r w:rsidR="001B1A3E">
        <w:t xml:space="preserve">Qualifying </w:t>
      </w:r>
      <w:r w:rsidR="0096687F">
        <w:t>bidders will be able to bid for</w:t>
      </w:r>
      <w:r w:rsidR="00B3420A">
        <w:t xml:space="preserve"> 38 pre-packaged lots of </w:t>
      </w:r>
      <w:r w:rsidR="00B3420A">
        <w:lastRenderedPageBreak/>
        <w:t>spectrum</w:t>
      </w:r>
      <w:r w:rsidR="001B1A3E">
        <w:t xml:space="preserve"> over four frequency bands.  In total, ICASA will make available</w:t>
      </w:r>
      <w:r w:rsidR="0096687F">
        <w:t xml:space="preserve"> </w:t>
      </w:r>
      <w:r w:rsidR="00BC6DB1">
        <w:t>326 MHz</w:t>
      </w:r>
      <w:r w:rsidR="001B1A3E">
        <w:t xml:space="preserve"> of additional spectrum</w:t>
      </w:r>
      <w:r w:rsidR="0096687F">
        <w:t xml:space="preserve"> </w:t>
      </w:r>
      <w:r w:rsidR="006A35F5">
        <w:t xml:space="preserve">to bidders </w:t>
      </w:r>
      <w:r w:rsidR="0096687F">
        <w:t>(“</w:t>
      </w:r>
      <w:r w:rsidR="0096687F" w:rsidRPr="00AF7FD2">
        <w:rPr>
          <w:b/>
          <w:bCs/>
        </w:rPr>
        <w:t>the ITA auction</w:t>
      </w:r>
      <w:r w:rsidR="0096687F">
        <w:t>”)</w:t>
      </w:r>
      <w:r w:rsidR="006A35F5">
        <w:t>.</w:t>
      </w:r>
    </w:p>
    <w:p w14:paraId="7E6BC3CF" w14:textId="02E880DB" w:rsidR="007247E4" w:rsidRDefault="001B1A3E" w:rsidP="006E2522">
      <w:pPr>
        <w:pStyle w:val="1"/>
      </w:pPr>
      <w:r>
        <w:t xml:space="preserve">Mobile network </w:t>
      </w:r>
      <w:r w:rsidRPr="00587B55">
        <w:t>operators</w:t>
      </w:r>
      <w:r>
        <w:t xml:space="preserve"> (“</w:t>
      </w:r>
      <w:r w:rsidRPr="007247E4">
        <w:rPr>
          <w:b/>
          <w:bCs/>
        </w:rPr>
        <w:t>MNOs or operators</w:t>
      </w:r>
      <w:r>
        <w:t>”)</w:t>
      </w:r>
      <w:r w:rsidRPr="00587B55">
        <w:t xml:space="preserve"> in South Africa have been waiting</w:t>
      </w:r>
      <w:r w:rsidR="006A35F5">
        <w:t xml:space="preserve"> for </w:t>
      </w:r>
      <w:r>
        <w:t>more than</w:t>
      </w:r>
      <w:r w:rsidRPr="00587B55">
        <w:t xml:space="preserve"> a decade for ICASA to release new spectrum.</w:t>
      </w:r>
      <w:r>
        <w:t xml:space="preserve">  </w:t>
      </w:r>
      <w:r w:rsidRPr="00587B55">
        <w:t>The full history of ICASA’s steps towards the licensing of additional spectrum is set out in paragraph 1 of the ITA</w:t>
      </w:r>
      <w:r w:rsidR="007247E4">
        <w:t>, and I</w:t>
      </w:r>
      <w:r w:rsidRPr="00587B55">
        <w:t xml:space="preserve"> do not repeat it here. </w:t>
      </w:r>
      <w:r w:rsidR="007247E4">
        <w:t xml:space="preserve"> </w:t>
      </w:r>
      <w:r>
        <w:t>During this period, operators were forced to re</w:t>
      </w:r>
      <w:r w:rsidR="00457EEE">
        <w:t>-</w:t>
      </w:r>
      <w:r>
        <w:t xml:space="preserve">farm their existing allocations of 2G and 3G spectrum in order to deploy new 4G technology, </w:t>
      </w:r>
      <w:r w:rsidR="006A35F5">
        <w:t xml:space="preserve">as </w:t>
      </w:r>
      <w:r>
        <w:t xml:space="preserve">the country experienced unprecedented growth in data demand. </w:t>
      </w:r>
    </w:p>
    <w:p w14:paraId="47FC4165" w14:textId="46FBC4BD" w:rsidR="001B1A3E" w:rsidRDefault="001B1A3E" w:rsidP="006E2522">
      <w:pPr>
        <w:pStyle w:val="1"/>
      </w:pPr>
      <w:r>
        <w:t xml:space="preserve">Additional spectrum is urgently required to expand 4G capacity and </w:t>
      </w:r>
      <w:r w:rsidR="007247E4">
        <w:t xml:space="preserve">to </w:t>
      </w:r>
      <w:r>
        <w:t xml:space="preserve">deploy the next generation of technology </w:t>
      </w:r>
      <w:r w:rsidR="006A35F5">
        <w:t>–</w:t>
      </w:r>
      <w:r w:rsidR="000C6C61">
        <w:t xml:space="preserve"> i.e. </w:t>
      </w:r>
      <w:r>
        <w:t xml:space="preserve">5G </w:t>
      </w:r>
      <w:r w:rsidR="00D465B3">
        <w:t>–</w:t>
      </w:r>
      <w:r w:rsidR="000C6C61">
        <w:t xml:space="preserve"> </w:t>
      </w:r>
      <w:r>
        <w:t xml:space="preserve">in South Africa. </w:t>
      </w:r>
      <w:r w:rsidRPr="00587B55">
        <w:t xml:space="preserve">  </w:t>
      </w:r>
    </w:p>
    <w:p w14:paraId="5B2E413C" w14:textId="3226FFFE" w:rsidR="00375FBA" w:rsidRDefault="00D465B3" w:rsidP="006E2522">
      <w:pPr>
        <w:pStyle w:val="1"/>
      </w:pPr>
      <w:r>
        <w:t xml:space="preserve">MTN welcomes the fact that new spectrum is finally being made available by ICASA.  However, </w:t>
      </w:r>
      <w:r w:rsidR="00FD1586">
        <w:t xml:space="preserve">MTN submits that </w:t>
      </w:r>
      <w:r w:rsidR="006A35F5">
        <w:t xml:space="preserve">two aspects of the ITA are unlawful and should be set aside on review.  They </w:t>
      </w:r>
      <w:r w:rsidR="000C6C61">
        <w:t xml:space="preserve">are </w:t>
      </w:r>
      <w:r w:rsidR="006A35F5">
        <w:t xml:space="preserve">ICASA’s </w:t>
      </w:r>
      <w:r w:rsidR="00FD1586">
        <w:t xml:space="preserve">decisions to adopt and to implement an auction structure that </w:t>
      </w:r>
      <w:r w:rsidR="000C6C61">
        <w:t xml:space="preserve">involves </w:t>
      </w:r>
      <w:r w:rsidR="007247E4">
        <w:t>(</w:t>
      </w:r>
      <w:r w:rsidR="007247E4" w:rsidRPr="00E344B9">
        <w:rPr>
          <w:i/>
        </w:rPr>
        <w:t>i</w:t>
      </w:r>
      <w:r w:rsidR="007247E4">
        <w:t xml:space="preserve">) </w:t>
      </w:r>
      <w:r w:rsidR="00FD1586">
        <w:t xml:space="preserve">the categorisation of </w:t>
      </w:r>
      <w:r w:rsidR="000D5795">
        <w:t>operators</w:t>
      </w:r>
      <w:r w:rsidR="00FD1586">
        <w:t xml:space="preserve"> </w:t>
      </w:r>
      <w:r w:rsidR="00457EEE">
        <w:t xml:space="preserve">as </w:t>
      </w:r>
      <w:r w:rsidR="00FD1586">
        <w:t xml:space="preserve">Tier-1 </w:t>
      </w:r>
      <w:r w:rsidR="00457EEE">
        <w:t xml:space="preserve">or </w:t>
      </w:r>
      <w:r w:rsidR="00FD1586">
        <w:t>Tier-2 operators</w:t>
      </w:r>
      <w:r w:rsidR="006A35F5">
        <w:t xml:space="preserve"> (“</w:t>
      </w:r>
      <w:r w:rsidR="006A35F5" w:rsidRPr="00E344B9">
        <w:rPr>
          <w:b/>
          <w:bCs/>
        </w:rPr>
        <w:t>the Operator Categorisation</w:t>
      </w:r>
      <w:r w:rsidR="006A35F5">
        <w:t>”)</w:t>
      </w:r>
      <w:r w:rsidR="007247E4">
        <w:t>;</w:t>
      </w:r>
      <w:r w:rsidR="00FD1586">
        <w:t xml:space="preserve"> and </w:t>
      </w:r>
      <w:r w:rsidR="007247E4">
        <w:t>(</w:t>
      </w:r>
      <w:r w:rsidR="007247E4" w:rsidRPr="00E344B9">
        <w:rPr>
          <w:i/>
        </w:rPr>
        <w:t>ii</w:t>
      </w:r>
      <w:r w:rsidR="007247E4">
        <w:t xml:space="preserve">) the use of </w:t>
      </w:r>
      <w:r w:rsidR="00FD1586">
        <w:t xml:space="preserve">an Opt-In Auction Round </w:t>
      </w:r>
      <w:r w:rsidR="000C6C61">
        <w:t xml:space="preserve">from which </w:t>
      </w:r>
      <w:r w:rsidR="00FD1586">
        <w:t>Tier-1 operators</w:t>
      </w:r>
      <w:r w:rsidR="006A35F5">
        <w:t xml:space="preserve"> </w:t>
      </w:r>
      <w:r w:rsidR="007247E4">
        <w:t>will be</w:t>
      </w:r>
      <w:r w:rsidR="00457EEE">
        <w:t xml:space="preserve"> </w:t>
      </w:r>
      <w:r w:rsidR="000C6C61">
        <w:t xml:space="preserve">excluded </w:t>
      </w:r>
      <w:r w:rsidR="006A35F5">
        <w:t>(“</w:t>
      </w:r>
      <w:r w:rsidR="006A35F5" w:rsidRPr="00E344B9">
        <w:rPr>
          <w:b/>
          <w:bCs/>
        </w:rPr>
        <w:t>the Opt-In Scheme</w:t>
      </w:r>
      <w:r w:rsidR="006A35F5">
        <w:t>”)</w:t>
      </w:r>
      <w:r>
        <w:t xml:space="preserve">.  As I shall explain </w:t>
      </w:r>
      <w:r w:rsidR="00F93001">
        <w:t xml:space="preserve">in more detail </w:t>
      </w:r>
      <w:r>
        <w:t>below:</w:t>
      </w:r>
    </w:p>
    <w:p w14:paraId="6AFA26A3" w14:textId="7E3F36B6" w:rsidR="000D5795" w:rsidRDefault="000D5795" w:rsidP="006E2522">
      <w:pPr>
        <w:pStyle w:val="2"/>
      </w:pPr>
      <w:r>
        <w:t>Both the Operator Categorisation and the Opt-In Scheme</w:t>
      </w:r>
      <w:r w:rsidR="006A35F5">
        <w:t>,</w:t>
      </w:r>
      <w:r>
        <w:t xml:space="preserve"> as described in the ITA</w:t>
      </w:r>
      <w:r w:rsidR="006A35F5">
        <w:t>,</w:t>
      </w:r>
      <w:r>
        <w:t xml:space="preserve"> are impermissibly vague.  It is impossible for prospective bidders to understand the basis for these interventions or to anticipate their outcome.</w:t>
      </w:r>
    </w:p>
    <w:p w14:paraId="4E163BAD" w14:textId="034A0DDA" w:rsidR="006A35F5" w:rsidRDefault="006A35F5" w:rsidP="006E2522">
      <w:pPr>
        <w:pStyle w:val="2"/>
      </w:pPr>
      <w:r>
        <w:lastRenderedPageBreak/>
        <w:t>The Operator Categorisation</w:t>
      </w:r>
      <w:r w:rsidR="00D465B3">
        <w:t xml:space="preserve"> is </w:t>
      </w:r>
      <w:r>
        <w:t>based on an arbitrary number of municipalities, and incorrectly rel</w:t>
      </w:r>
      <w:r w:rsidR="00D465B3">
        <w:t>ies</w:t>
      </w:r>
      <w:r>
        <w:t xml:space="preserve"> on retail market share.  The definitions have </w:t>
      </w:r>
      <w:r w:rsidR="007A7433">
        <w:t xml:space="preserve">also </w:t>
      </w:r>
      <w:r>
        <w:t>been imported from the incomplete Mobile Broadband Inquiry without proper consideration or consultation.</w:t>
      </w:r>
    </w:p>
    <w:p w14:paraId="379B5280" w14:textId="2BA623E6" w:rsidR="000D5795" w:rsidRDefault="000D5795" w:rsidP="006E2522">
      <w:pPr>
        <w:pStyle w:val="2"/>
      </w:pPr>
      <w:r>
        <w:t xml:space="preserve">The Opt-In </w:t>
      </w:r>
      <w:r w:rsidR="007A7433">
        <w:t>S</w:t>
      </w:r>
      <w:r>
        <w:t xml:space="preserve">cheme is irrational and inconsistent with the objectives of the ITA and </w:t>
      </w:r>
      <w:r w:rsidR="006A35F5">
        <w:t>the Electronic Communications Act 36 of 2005 (“</w:t>
      </w:r>
      <w:r w:rsidR="006A35F5" w:rsidRPr="00E344B9">
        <w:rPr>
          <w:b/>
          <w:bCs/>
        </w:rPr>
        <w:t>the ECA</w:t>
      </w:r>
      <w:r w:rsidR="006A35F5">
        <w:t>”)</w:t>
      </w:r>
      <w:r w:rsidR="00D465B3">
        <w:t xml:space="preserve">.  It </w:t>
      </w:r>
      <w:r>
        <w:t xml:space="preserve">creates an auction structure that prevents Tier-1 operators from bidding for the spectrum </w:t>
      </w:r>
      <w:r w:rsidR="00F93001">
        <w:t xml:space="preserve">that is </w:t>
      </w:r>
      <w:r>
        <w:t>necessary to implement 5G technology</w:t>
      </w:r>
      <w:r w:rsidR="00F93001">
        <w:t>.</w:t>
      </w:r>
    </w:p>
    <w:p w14:paraId="60A68D4D" w14:textId="0434C99E" w:rsidR="00841174" w:rsidRDefault="00942412" w:rsidP="006E2522">
      <w:pPr>
        <w:pStyle w:val="1"/>
      </w:pPr>
      <w:r>
        <w:t xml:space="preserve">I am advised that </w:t>
      </w:r>
      <w:r w:rsidR="00FD1586">
        <w:t xml:space="preserve">ICASA’s decisions </w:t>
      </w:r>
      <w:r w:rsidR="00D465B3">
        <w:t xml:space="preserve">constitute </w:t>
      </w:r>
      <w:r w:rsidR="00FD1586">
        <w:t xml:space="preserve">administrative action as defined in </w:t>
      </w:r>
      <w:r>
        <w:t xml:space="preserve">section 1 of </w:t>
      </w:r>
      <w:r w:rsidR="00FD1586">
        <w:t>the Promotion of Administrative Justice Act</w:t>
      </w:r>
      <w:r w:rsidR="006A35F5">
        <w:t xml:space="preserve"> </w:t>
      </w:r>
      <w:r>
        <w:t xml:space="preserve">3 of </w:t>
      </w:r>
      <w:r w:rsidR="00FD1586">
        <w:t>2000</w:t>
      </w:r>
      <w:r w:rsidR="006A35F5">
        <w:t xml:space="preserve"> (“</w:t>
      </w:r>
      <w:r w:rsidR="006A35F5" w:rsidRPr="00E344B9">
        <w:rPr>
          <w:b/>
          <w:bCs/>
        </w:rPr>
        <w:t>PAJA</w:t>
      </w:r>
      <w:r w:rsidR="006A35F5">
        <w:t>”)</w:t>
      </w:r>
      <w:r w:rsidR="00FD1586">
        <w:t xml:space="preserve">.  </w:t>
      </w:r>
      <w:r>
        <w:t xml:space="preserve">They are decisions taken by ICASA </w:t>
      </w:r>
      <w:r w:rsidR="008440D0">
        <w:t xml:space="preserve">exercising </w:t>
      </w:r>
      <w:r>
        <w:t>a public power or performing a public function in</w:t>
      </w:r>
      <w:r w:rsidR="00DA3A2F">
        <w:t xml:space="preserve"> </w:t>
      </w:r>
      <w:r>
        <w:t>terms of legislation.  As I explain below, the decisions have a direct, external legal effect and</w:t>
      </w:r>
      <w:r w:rsidR="005F5473">
        <w:t xml:space="preserve"> </w:t>
      </w:r>
      <w:r>
        <w:t xml:space="preserve">have the capacity to adversely affect the rights of MTN and the other prospective bidders. Alternatively, the decisions are subject to the principle of legality established in terms </w:t>
      </w:r>
      <w:r w:rsidR="00F80A9E">
        <w:t>of</w:t>
      </w:r>
      <w:r>
        <w:t xml:space="preserve"> section 1(c) of the Constitution.  </w:t>
      </w:r>
    </w:p>
    <w:p w14:paraId="24BA896C" w14:textId="2B1F9885" w:rsidR="004B28CC" w:rsidRPr="006E2522" w:rsidRDefault="004B28CC" w:rsidP="00140C60">
      <w:pPr>
        <w:pStyle w:val="1"/>
      </w:pPr>
      <w:r w:rsidRPr="006E2522">
        <w:t xml:space="preserve">In this affidavit, I </w:t>
      </w:r>
      <w:r w:rsidR="006A35F5" w:rsidRPr="00DD38E2">
        <w:t xml:space="preserve">shall </w:t>
      </w:r>
      <w:r w:rsidRPr="006E2522">
        <w:t>deal with the following topics</w:t>
      </w:r>
      <w:r w:rsidR="00D465B3" w:rsidRPr="006E2522">
        <w:t xml:space="preserve"> in turn:</w:t>
      </w:r>
    </w:p>
    <w:p w14:paraId="677EAFDA" w14:textId="2801B3F1" w:rsidR="004B28CC" w:rsidRPr="006E2522" w:rsidRDefault="004B28CC" w:rsidP="00140C60">
      <w:pPr>
        <w:pStyle w:val="2"/>
      </w:pPr>
      <w:r w:rsidRPr="006E2522">
        <w:t>I provide an overview of the role of spectrum for mobile operators</w:t>
      </w:r>
      <w:r w:rsidR="00D465B3" w:rsidRPr="006E2522">
        <w:t>.</w:t>
      </w:r>
    </w:p>
    <w:p w14:paraId="11A6B61E" w14:textId="7B8395F2" w:rsidR="004B28CC" w:rsidRPr="006E2522" w:rsidRDefault="004B28CC" w:rsidP="00140C60">
      <w:pPr>
        <w:pStyle w:val="2"/>
      </w:pPr>
      <w:r w:rsidRPr="006E2522">
        <w:t>I set out the ITA process to date</w:t>
      </w:r>
      <w:r w:rsidR="00D465B3" w:rsidRPr="00DD38E2">
        <w:t>.</w:t>
      </w:r>
    </w:p>
    <w:p w14:paraId="47534C87" w14:textId="7413F29E" w:rsidR="004B28CC" w:rsidRPr="006E2522" w:rsidRDefault="004B28CC" w:rsidP="00140C60">
      <w:pPr>
        <w:pStyle w:val="2"/>
      </w:pPr>
      <w:r w:rsidRPr="006E2522">
        <w:t>I explain the auction structure prescribed by the ITA and supplemented by ICASA’s Response Document and Reasons Document</w:t>
      </w:r>
      <w:r w:rsidR="00D465B3" w:rsidRPr="006E2522">
        <w:t>.</w:t>
      </w:r>
    </w:p>
    <w:p w14:paraId="724278C3" w14:textId="50924D7E" w:rsidR="004B28CC" w:rsidRPr="006E2522" w:rsidRDefault="00C321DB" w:rsidP="00140C60">
      <w:pPr>
        <w:pStyle w:val="2"/>
      </w:pPr>
      <w:r w:rsidRPr="006E2522">
        <w:lastRenderedPageBreak/>
        <w:t>I illustrate the potential outcomes of the current auction structure</w:t>
      </w:r>
      <w:r w:rsidR="00D465B3" w:rsidRPr="006E2522">
        <w:t>.</w:t>
      </w:r>
    </w:p>
    <w:p w14:paraId="08F297D5" w14:textId="178A1C63" w:rsidR="00C321DB" w:rsidRPr="006E2522" w:rsidRDefault="00C321DB" w:rsidP="00140C60">
      <w:pPr>
        <w:pStyle w:val="2"/>
      </w:pPr>
      <w:r w:rsidRPr="006E2522">
        <w:t xml:space="preserve">I set out each of the grounds of review and explain why the Operator Categorisation and </w:t>
      </w:r>
      <w:r w:rsidR="006A35F5" w:rsidRPr="006E2522">
        <w:t xml:space="preserve">the </w:t>
      </w:r>
      <w:r w:rsidRPr="006E2522">
        <w:t xml:space="preserve">Opt-In Scheme </w:t>
      </w:r>
      <w:r w:rsidR="006A35F5" w:rsidRPr="006E2522">
        <w:t xml:space="preserve">are </w:t>
      </w:r>
      <w:r w:rsidRPr="006E2522">
        <w:t>unlawful</w:t>
      </w:r>
      <w:r w:rsidR="00D465B3" w:rsidRPr="006E2522">
        <w:t>.</w:t>
      </w:r>
    </w:p>
    <w:p w14:paraId="4D3C5DCC" w14:textId="1D378B9E" w:rsidR="006A35F5" w:rsidRPr="006E2522" w:rsidRDefault="006A35F5" w:rsidP="00140C60">
      <w:pPr>
        <w:pStyle w:val="2"/>
      </w:pPr>
      <w:r w:rsidRPr="006E2522">
        <w:t>Finally</w:t>
      </w:r>
      <w:r w:rsidR="00F80A9E" w:rsidRPr="006E2522">
        <w:t>,</w:t>
      </w:r>
      <w:r w:rsidR="00C321DB" w:rsidRPr="006E2522">
        <w:t xml:space="preserve"> I deal </w:t>
      </w:r>
      <w:r w:rsidRPr="006E2522">
        <w:t>with urgency</w:t>
      </w:r>
      <w:r w:rsidR="005D44EE">
        <w:t xml:space="preserve"> and the relief sought by MTN in this application.</w:t>
      </w:r>
    </w:p>
    <w:p w14:paraId="74670186" w14:textId="2FFEBE9C" w:rsidR="004809B9" w:rsidRDefault="00587B55">
      <w:pPr>
        <w:pStyle w:val="Heading1"/>
      </w:pPr>
      <w:bookmarkStart w:id="2" w:name="_Toc62222138"/>
      <w:r>
        <w:t xml:space="preserve">THE ROLE OF </w:t>
      </w:r>
      <w:r w:rsidR="00E86DDC">
        <w:t xml:space="preserve">SPECTRUM </w:t>
      </w:r>
      <w:r>
        <w:t>IN MOBILE TELEPHONY</w:t>
      </w:r>
      <w:bookmarkEnd w:id="2"/>
    </w:p>
    <w:p w14:paraId="351B9188" w14:textId="197EB62A" w:rsidR="00487746" w:rsidRPr="006446FC" w:rsidRDefault="00487746" w:rsidP="006E2522">
      <w:pPr>
        <w:pStyle w:val="1"/>
        <w:rPr>
          <w:sz w:val="20"/>
        </w:rPr>
      </w:pPr>
      <w:r>
        <w:t>Radio Frequency Spectrum (“</w:t>
      </w:r>
      <w:r w:rsidRPr="008803DD">
        <w:rPr>
          <w:b/>
        </w:rPr>
        <w:t>spectrum</w:t>
      </w:r>
      <w:r>
        <w:t>”) is defined in the ECA as “</w:t>
      </w:r>
      <w:r w:rsidRPr="00097CDF">
        <w:t xml:space="preserve">the portion of the electromagnetic spectrum used as a transmission medium for electronic communications and broadcasting.” </w:t>
      </w:r>
      <w:r w:rsidR="00AE36D8">
        <w:t xml:space="preserve"> </w:t>
      </w:r>
      <w:r>
        <w:t xml:space="preserve">Radio spectrum is the lowest portion of the electromagnetic spectrum, having a frequency below 3000 GHz. </w:t>
      </w:r>
      <w:r w:rsidR="005C732E">
        <w:t xml:space="preserve"> </w:t>
      </w:r>
      <w:r>
        <w:t xml:space="preserve">These are the radio waves </w:t>
      </w:r>
      <w:r w:rsidRPr="00375FBA">
        <w:rPr>
          <w:lang w:val="en-US"/>
        </w:rPr>
        <w:t xml:space="preserve">by which services such as broadcasting and mobile telecommunications can be transmitted.  </w:t>
      </w:r>
      <w:r w:rsidRPr="00375FBA">
        <w:rPr>
          <w:shd w:val="clear" w:color="auto" w:fill="FFFFFF"/>
        </w:rPr>
        <w:t xml:space="preserve">Our everyday experience of mobile telecommunications is made possible </w:t>
      </w:r>
      <w:proofErr w:type="gramStart"/>
      <w:r w:rsidRPr="00375FBA">
        <w:rPr>
          <w:shd w:val="clear" w:color="auto" w:fill="FFFFFF"/>
        </w:rPr>
        <w:t>by the use of</w:t>
      </w:r>
      <w:proofErr w:type="gramEnd"/>
      <w:r w:rsidRPr="00375FBA">
        <w:rPr>
          <w:shd w:val="clear" w:color="auto" w:fill="FFFFFF"/>
        </w:rPr>
        <w:t xml:space="preserve"> a portion of the</w:t>
      </w:r>
      <w:r w:rsidR="00381A93">
        <w:rPr>
          <w:shd w:val="clear" w:color="auto" w:fill="FFFFFF"/>
        </w:rPr>
        <w:t xml:space="preserve"> spectrum, which is used </w:t>
      </w:r>
      <w:r w:rsidRPr="00375FBA">
        <w:rPr>
          <w:shd w:val="clear" w:color="auto" w:fill="FFFFFF"/>
        </w:rPr>
        <w:t>to transmit and receiv</w:t>
      </w:r>
      <w:r w:rsidR="007A7433">
        <w:rPr>
          <w:shd w:val="clear" w:color="auto" w:fill="FFFFFF"/>
        </w:rPr>
        <w:t>e</w:t>
      </w:r>
      <w:r w:rsidRPr="00375FBA">
        <w:rPr>
          <w:shd w:val="clear" w:color="auto" w:fill="FFFFFF"/>
        </w:rPr>
        <w:t xml:space="preserve"> electronic signals</w:t>
      </w:r>
      <w:r>
        <w:rPr>
          <w:shd w:val="clear" w:color="auto" w:fill="FFFFFF"/>
        </w:rPr>
        <w:t>.</w:t>
      </w:r>
    </w:p>
    <w:p w14:paraId="7DAAF188" w14:textId="63E38DF5" w:rsidR="00487746" w:rsidRDefault="00487746" w:rsidP="00DD38E2">
      <w:pPr>
        <w:pStyle w:val="1"/>
      </w:pPr>
      <w:r>
        <w:t xml:space="preserve">Apart from the heightened demand for </w:t>
      </w:r>
      <w:proofErr w:type="gramStart"/>
      <w:r>
        <w:t>particular bands</w:t>
      </w:r>
      <w:proofErr w:type="gramEnd"/>
      <w:r>
        <w:t xml:space="preserve">, spectrum in general is a natural and limited resource. </w:t>
      </w:r>
      <w:r w:rsidR="00B83D2C">
        <w:t xml:space="preserve"> </w:t>
      </w:r>
      <w:r>
        <w:t xml:space="preserve">This is particularly significant given the sustained and rapid increase in mobile data consumption. </w:t>
      </w:r>
      <w:r w:rsidR="00B83D2C">
        <w:t xml:space="preserve"> </w:t>
      </w:r>
      <w:r>
        <w:t xml:space="preserve">In the result, there is an ever-increasing need for additional spectrum to ensure that </w:t>
      </w:r>
      <w:r w:rsidR="00F04632">
        <w:t xml:space="preserve">electronic communications </w:t>
      </w:r>
      <w:r>
        <w:t>networks can provide the services demanded by consumers.</w:t>
      </w:r>
      <w:r w:rsidR="00F027E0">
        <w:t xml:space="preserve"> </w:t>
      </w:r>
      <w:r>
        <w:t xml:space="preserve"> However, meeting such demand is limited by the availability of spectrum. </w:t>
      </w:r>
    </w:p>
    <w:p w14:paraId="380679C9" w14:textId="28641F4F" w:rsidR="00544E10" w:rsidRDefault="00487746">
      <w:pPr>
        <w:pStyle w:val="1"/>
      </w:pPr>
      <w:proofErr w:type="gramStart"/>
      <w:r>
        <w:rPr>
          <w:lang w:val="en-US"/>
        </w:rPr>
        <w:lastRenderedPageBreak/>
        <w:t>In light of</w:t>
      </w:r>
      <w:proofErr w:type="gramEnd"/>
      <w:r>
        <w:rPr>
          <w:lang w:val="en-US"/>
        </w:rPr>
        <w:t xml:space="preserve"> both the limited nature of spectrum and its crucial role in determining the competitive market position of MNO’s, </w:t>
      </w:r>
      <w:r w:rsidRPr="007517F4">
        <w:rPr>
          <w:lang w:val="en-US"/>
        </w:rPr>
        <w:t xml:space="preserve">ICASA </w:t>
      </w:r>
      <w:r>
        <w:rPr>
          <w:lang w:val="en-US"/>
        </w:rPr>
        <w:t>is tasked with regulating the allocation and use of spectrum in the public interest.</w:t>
      </w:r>
    </w:p>
    <w:p w14:paraId="1C926D71" w14:textId="1682DE64" w:rsidR="005435EB" w:rsidRPr="005435EB" w:rsidRDefault="005435EB">
      <w:pPr>
        <w:pStyle w:val="1"/>
        <w:rPr>
          <w:sz w:val="20"/>
        </w:rPr>
      </w:pPr>
      <w:r>
        <w:rPr>
          <w:lang w:val="en-US"/>
        </w:rPr>
        <w:t xml:space="preserve">The ECA empowers </w:t>
      </w:r>
      <w:r>
        <w:t>ICASA to allocate certain radio frequency bands to different radio communication services.</w:t>
      </w:r>
      <w:r>
        <w:rPr>
          <w:sz w:val="20"/>
        </w:rPr>
        <w:t xml:space="preserve">  </w:t>
      </w:r>
      <w:r w:rsidRPr="0021153E">
        <w:t>In South Africa, radio frequencies in the bands</w:t>
      </w:r>
      <w:r w:rsidR="00DE4729">
        <w:t xml:space="preserve"> </w:t>
      </w:r>
      <w:r w:rsidR="001D02AE">
        <w:t>700,</w:t>
      </w:r>
      <w:r w:rsidRPr="0021153E">
        <w:t xml:space="preserve"> 8</w:t>
      </w:r>
      <w:r w:rsidR="001D02AE">
        <w:t>0</w:t>
      </w:r>
      <w:r w:rsidRPr="0021153E">
        <w:t xml:space="preserve">0, 900, 1800, 2100, 2300, 2600 and 3500MHz are currently </w:t>
      </w:r>
      <w:r w:rsidR="001D02AE">
        <w:t xml:space="preserve">allocated </w:t>
      </w:r>
      <w:r w:rsidR="003032C4">
        <w:t xml:space="preserve">for use </w:t>
      </w:r>
      <w:r w:rsidR="00481674">
        <w:t>relating to International Mobile Telephony (</w:t>
      </w:r>
      <w:r w:rsidR="00F3741C">
        <w:t>“</w:t>
      </w:r>
      <w:r w:rsidR="00481674" w:rsidRPr="00E344B9">
        <w:rPr>
          <w:b/>
          <w:bCs/>
        </w:rPr>
        <w:t>IMT</w:t>
      </w:r>
      <w:r w:rsidR="00F3741C" w:rsidRPr="00140C60">
        <w:t>”</w:t>
      </w:r>
      <w:r w:rsidR="00481674">
        <w:t xml:space="preserve">). </w:t>
      </w:r>
      <w:r w:rsidR="00AA6568">
        <w:t xml:space="preserve"> </w:t>
      </w:r>
      <w:r w:rsidR="00481674">
        <w:t xml:space="preserve">Some of the available </w:t>
      </w:r>
      <w:r w:rsidR="005907BA">
        <w:t>frequencies in all the band</w:t>
      </w:r>
      <w:r w:rsidR="00F04632">
        <w:t>s</w:t>
      </w:r>
      <w:r w:rsidR="005907BA">
        <w:t xml:space="preserve"> </w:t>
      </w:r>
      <w:r w:rsidR="00421BD1">
        <w:t xml:space="preserve">have </w:t>
      </w:r>
      <w:r w:rsidR="00E62B9E">
        <w:t xml:space="preserve">already </w:t>
      </w:r>
      <w:r w:rsidR="005907BA">
        <w:t xml:space="preserve">been licensed for use by </w:t>
      </w:r>
      <w:r w:rsidR="00811E60">
        <w:t>operators</w:t>
      </w:r>
      <w:r w:rsidR="005907BA">
        <w:t xml:space="preserve">.  It is the balance of these frequencies that </w:t>
      </w:r>
      <w:r w:rsidR="00F04632">
        <w:t>is</w:t>
      </w:r>
      <w:r w:rsidR="005907BA">
        <w:t xml:space="preserve"> available for licensing </w:t>
      </w:r>
      <w:r w:rsidR="00F04632">
        <w:t xml:space="preserve">and </w:t>
      </w:r>
      <w:r w:rsidR="005907BA">
        <w:t>that forms the subject matter of the ITA</w:t>
      </w:r>
      <w:r w:rsidR="00811E60">
        <w:rPr>
          <w:sz w:val="20"/>
        </w:rPr>
        <w:t>.</w:t>
      </w:r>
    </w:p>
    <w:p w14:paraId="53E25A78" w14:textId="530C3882" w:rsidR="00487746" w:rsidRPr="005A03B2" w:rsidRDefault="005435EB">
      <w:pPr>
        <w:pStyle w:val="1"/>
      </w:pPr>
      <w:r w:rsidRPr="007D7AB0">
        <w:t xml:space="preserve">Each </w:t>
      </w:r>
      <w:r w:rsidR="00811E60">
        <w:t>operator</w:t>
      </w:r>
      <w:r w:rsidR="00811E60" w:rsidRPr="007D7AB0">
        <w:t xml:space="preserve"> </w:t>
      </w:r>
      <w:r>
        <w:t>uses the spectrum assigned to it by way of spectrum licences to provide</w:t>
      </w:r>
      <w:r w:rsidRPr="007D7AB0">
        <w:t xml:space="preserve"> connectivity </w:t>
      </w:r>
      <w:r>
        <w:t xml:space="preserve">and mobile communication services to its customers.  </w:t>
      </w:r>
      <w:r w:rsidR="00487746" w:rsidRPr="005435EB">
        <w:rPr>
          <w:lang w:val="en-US"/>
        </w:rPr>
        <w:t xml:space="preserve">The extent of an </w:t>
      </w:r>
      <w:r w:rsidR="00811E60">
        <w:rPr>
          <w:lang w:val="en-US"/>
        </w:rPr>
        <w:t>operator’s</w:t>
      </w:r>
      <w:r w:rsidR="00811E60" w:rsidRPr="005435EB">
        <w:rPr>
          <w:lang w:val="en-US"/>
        </w:rPr>
        <w:t xml:space="preserve"> </w:t>
      </w:r>
      <w:r w:rsidR="00487746" w:rsidRPr="005435EB">
        <w:rPr>
          <w:lang w:val="en-US"/>
        </w:rPr>
        <w:t xml:space="preserve">access to </w:t>
      </w:r>
      <w:r w:rsidR="00104B58">
        <w:rPr>
          <w:lang w:val="en-US"/>
        </w:rPr>
        <w:t xml:space="preserve">specific </w:t>
      </w:r>
      <w:r w:rsidR="00487746" w:rsidRPr="005435EB">
        <w:rPr>
          <w:lang w:val="en-US"/>
        </w:rPr>
        <w:t xml:space="preserve">spectrum determines both its capacity to process telecommunication transactions (such as a call or a text message) </w:t>
      </w:r>
      <w:proofErr w:type="gramStart"/>
      <w:r w:rsidR="00487746" w:rsidRPr="005435EB">
        <w:rPr>
          <w:lang w:val="en-US"/>
        </w:rPr>
        <w:t>and also</w:t>
      </w:r>
      <w:proofErr w:type="gramEnd"/>
      <w:r w:rsidR="00487746" w:rsidRPr="005435EB">
        <w:rPr>
          <w:lang w:val="en-US"/>
        </w:rPr>
        <w:t xml:space="preserve"> the quality of the telecommunication services it is able to offer to consumers.  There are two aspects to this:</w:t>
      </w:r>
    </w:p>
    <w:p w14:paraId="2DB593CC" w14:textId="16E0AA72" w:rsidR="00487746" w:rsidRDefault="00487746">
      <w:pPr>
        <w:pStyle w:val="2"/>
      </w:pPr>
      <w:r w:rsidRPr="00E344B9">
        <w:rPr>
          <w:i/>
        </w:rPr>
        <w:t>Coverage</w:t>
      </w:r>
      <w:r>
        <w:t xml:space="preserve">: Spectrum access determines the “coverage” or the geographic availability of </w:t>
      </w:r>
      <w:r w:rsidR="0068283F">
        <w:t>the</w:t>
      </w:r>
      <w:r w:rsidR="00104B58">
        <w:t xml:space="preserve"> </w:t>
      </w:r>
      <w:r>
        <w:t xml:space="preserve">services that an </w:t>
      </w:r>
      <w:r w:rsidR="00811E60">
        <w:t xml:space="preserve">operator </w:t>
      </w:r>
      <w:proofErr w:type="gramStart"/>
      <w:r>
        <w:t>is able to</w:t>
      </w:r>
      <w:proofErr w:type="gramEnd"/>
      <w:r>
        <w:t xml:space="preserve"> offer. </w:t>
      </w:r>
    </w:p>
    <w:p w14:paraId="29F3C9A9" w14:textId="43F79B60" w:rsidR="00487746" w:rsidRDefault="00487746">
      <w:pPr>
        <w:pStyle w:val="2"/>
      </w:pPr>
      <w:r w:rsidRPr="00E344B9">
        <w:rPr>
          <w:i/>
        </w:rPr>
        <w:t>Capacity</w:t>
      </w:r>
      <w:r>
        <w:t xml:space="preserve">: Spectrum access also determines the “speed” of data transactions.  The quality of a data connection depends strongly on the amount of available capacity that can be dedicated to each connected user.  The more capacity per user (in the cell that the user is connected to), the higher the throughput that each user will </w:t>
      </w:r>
      <w:r>
        <w:lastRenderedPageBreak/>
        <w:t xml:space="preserve">see and thus the better quality of service.  With greater access to certain bands on the spectrum, an </w:t>
      </w:r>
      <w:r w:rsidR="00811E60">
        <w:t xml:space="preserve">operator </w:t>
      </w:r>
      <w:r>
        <w:t>can offer faster download and upload speeds at a more consistent rate.</w:t>
      </w:r>
    </w:p>
    <w:p w14:paraId="3504012C" w14:textId="458401EB" w:rsidR="00F3741C" w:rsidRDefault="00F3741C" w:rsidP="00962F55">
      <w:pPr>
        <w:pStyle w:val="1"/>
      </w:pPr>
      <w:r>
        <w:t>D</w:t>
      </w:r>
      <w:r w:rsidRPr="00E344B9">
        <w:t xml:space="preserve">ifferent types of </w:t>
      </w:r>
      <w:r>
        <w:t>s</w:t>
      </w:r>
      <w:r w:rsidRPr="00E344B9">
        <w:t xml:space="preserve">pectrum have different propagation </w:t>
      </w:r>
      <w:r w:rsidR="00962F55">
        <w:t>and information</w:t>
      </w:r>
      <w:r w:rsidR="00E62B9E">
        <w:t>-</w:t>
      </w:r>
      <w:r w:rsidR="00962F55">
        <w:t xml:space="preserve"> carrying </w:t>
      </w:r>
      <w:r w:rsidRPr="00E344B9">
        <w:t>characteristics depending on where they are situated in the spectrum band</w:t>
      </w:r>
      <w:r w:rsidR="00962F55">
        <w:t xml:space="preserve">. </w:t>
      </w:r>
      <w:r w:rsidR="004E1366">
        <w:t xml:space="preserve"> </w:t>
      </w:r>
      <w:r w:rsidR="00962F55" w:rsidRPr="00E344B9">
        <w:t>Th</w:t>
      </w:r>
      <w:r w:rsidR="00962F55">
        <w:t xml:space="preserve">e </w:t>
      </w:r>
      <w:proofErr w:type="gramStart"/>
      <w:r w:rsidR="00962F55">
        <w:t>particular characteristics</w:t>
      </w:r>
      <w:proofErr w:type="gramEnd"/>
      <w:r w:rsidR="00962F55">
        <w:t xml:space="preserve"> of the spectrum will determine the range of applications for which it is suitable, </w:t>
      </w:r>
      <w:r w:rsidR="00F9047D">
        <w:t>and thereby</w:t>
      </w:r>
      <w:r w:rsidR="00962F55">
        <w:t xml:space="preserve"> </w:t>
      </w:r>
      <w:r w:rsidR="007D3236">
        <w:t xml:space="preserve">an </w:t>
      </w:r>
      <w:r w:rsidR="00962F55">
        <w:t>operator’s coverage and capacity</w:t>
      </w:r>
      <w:r w:rsidR="00E62B9E">
        <w:t>:</w:t>
      </w:r>
    </w:p>
    <w:p w14:paraId="5FE9DC13" w14:textId="408CCA6D" w:rsidR="00487746" w:rsidRDefault="00487746">
      <w:pPr>
        <w:pStyle w:val="2"/>
      </w:pPr>
      <w:r w:rsidRPr="006D3BCC">
        <w:t>In general, low-frequency transmissions can travel greater distances before losing their integrity, and they can pass through dense objects more easily.</w:t>
      </w:r>
      <w:r w:rsidR="00036A64">
        <w:t xml:space="preserve"> </w:t>
      </w:r>
      <w:r w:rsidRPr="006D3BCC">
        <w:t xml:space="preserve"> </w:t>
      </w:r>
      <w:r w:rsidR="00381A93">
        <w:t>However, l</w:t>
      </w:r>
      <w:r w:rsidRPr="006D3BCC">
        <w:t xml:space="preserve">ess data can be transmitted over these radio waves. </w:t>
      </w:r>
      <w:r>
        <w:t xml:space="preserve"> Spectrum in the lower frequency, or sub-1GHz bands, will therefore </w:t>
      </w:r>
      <w:r w:rsidR="006907F7">
        <w:t>be more suitable to cover larger distances and consequently</w:t>
      </w:r>
      <w:r w:rsidR="00E62B9E">
        <w:t xml:space="preserve"> will </w:t>
      </w:r>
      <w:r>
        <w:t>increase an operator’s</w:t>
      </w:r>
      <w:r w:rsidR="006907F7">
        <w:t xml:space="preserve"> ability to provide</w:t>
      </w:r>
      <w:r>
        <w:t xml:space="preserve"> coverage</w:t>
      </w:r>
      <w:r w:rsidR="00F04632">
        <w:t>,</w:t>
      </w:r>
      <w:r w:rsidR="006907F7">
        <w:t xml:space="preserve"> including </w:t>
      </w:r>
      <w:r w:rsidR="00F04632">
        <w:t xml:space="preserve">coverage in </w:t>
      </w:r>
      <w:r w:rsidR="006907F7">
        <w:t>rural areas</w:t>
      </w:r>
      <w:r>
        <w:t>.</w:t>
      </w:r>
    </w:p>
    <w:p w14:paraId="3533819D" w14:textId="776A235E" w:rsidR="00EC0D95" w:rsidRPr="00E344B9" w:rsidRDefault="00487746">
      <w:pPr>
        <w:pStyle w:val="2"/>
      </w:pPr>
      <w:r w:rsidRPr="00E344B9">
        <w:t>Higher-frequency transmissions</w:t>
      </w:r>
      <w:r w:rsidR="006907F7" w:rsidRPr="00E344B9">
        <w:t xml:space="preserve"> can</w:t>
      </w:r>
      <w:r w:rsidRPr="00E344B9">
        <w:t xml:space="preserve"> carry more </w:t>
      </w:r>
      <w:proofErr w:type="gramStart"/>
      <w:r w:rsidRPr="00E344B9">
        <w:t>data, but</w:t>
      </w:r>
      <w:proofErr w:type="gramEnd"/>
      <w:r w:rsidRPr="00E344B9">
        <w:t xml:space="preserve"> are poorer at penetrating </w:t>
      </w:r>
      <w:r w:rsidR="00A827D5" w:rsidRPr="00E344B9">
        <w:t xml:space="preserve">various forms of clutter and </w:t>
      </w:r>
      <w:r w:rsidRPr="00E344B9">
        <w:t>obstacles</w:t>
      </w:r>
      <w:r w:rsidR="00104B58" w:rsidRPr="00E344B9">
        <w:t xml:space="preserve"> and </w:t>
      </w:r>
      <w:r w:rsidR="00811E60">
        <w:t xml:space="preserve">they </w:t>
      </w:r>
      <w:r w:rsidR="00104B58" w:rsidRPr="00E344B9">
        <w:t>travel shorter distances</w:t>
      </w:r>
      <w:r w:rsidRPr="00E344B9">
        <w:t>.</w:t>
      </w:r>
      <w:r w:rsidR="002C4F5B" w:rsidRPr="00E344B9">
        <w:t xml:space="preserve">  </w:t>
      </w:r>
      <w:r w:rsidR="00EC0D95" w:rsidRPr="00E344B9">
        <w:t xml:space="preserve">Such higher-frequency transmissions are therefore more suitable to provide coverage and capacity in dense urban areas where there are more users and hence more capacity needed to carry the data traffic generated by such users. </w:t>
      </w:r>
    </w:p>
    <w:p w14:paraId="6B91CD08" w14:textId="744A65F7" w:rsidR="00F9047D" w:rsidRPr="007D3236" w:rsidRDefault="00962F55" w:rsidP="007D3236">
      <w:pPr>
        <w:pStyle w:val="1"/>
      </w:pPr>
      <w:r>
        <w:t xml:space="preserve">This </w:t>
      </w:r>
      <w:r w:rsidR="00E62B9E">
        <w:t xml:space="preserve">means that </w:t>
      </w:r>
      <w:r w:rsidRPr="00E344B9">
        <w:t xml:space="preserve">some spectrum bands </w:t>
      </w:r>
      <w:r w:rsidR="00E62B9E">
        <w:t xml:space="preserve">are </w:t>
      </w:r>
      <w:r w:rsidRPr="00E344B9">
        <w:t>more</w:t>
      </w:r>
      <w:r>
        <w:t xml:space="preserve"> </w:t>
      </w:r>
      <w:r w:rsidRPr="00E344B9">
        <w:t xml:space="preserve">valuable to operators than others. </w:t>
      </w:r>
      <w:r>
        <w:t xml:space="preserve"> Certain spectrum that is</w:t>
      </w:r>
      <w:r w:rsidRPr="00962F55">
        <w:t xml:space="preserve"> suitable for a wide variety of services </w:t>
      </w:r>
      <w:r w:rsidR="00F9047D">
        <w:t xml:space="preserve">will be in greater demand than spectrum with more limited application. </w:t>
      </w:r>
      <w:r w:rsidR="00EC064F">
        <w:t xml:space="preserve"> </w:t>
      </w:r>
      <w:r w:rsidR="00F9047D">
        <w:rPr>
          <w:shd w:val="clear" w:color="auto" w:fill="FFFFFF"/>
          <w:lang w:val="en-ZA" w:eastAsia="en-GB"/>
        </w:rPr>
        <w:t xml:space="preserve">Operators </w:t>
      </w:r>
      <w:r w:rsidR="00F9047D">
        <w:rPr>
          <w:shd w:val="clear" w:color="auto" w:fill="FFFFFF"/>
          <w:lang w:val="en-ZA" w:eastAsia="en-GB"/>
        </w:rPr>
        <w:lastRenderedPageBreak/>
        <w:t>can also aggregate their capacity by using</w:t>
      </w:r>
      <w:r w:rsidR="00F9047D" w:rsidRPr="00F9047D">
        <w:rPr>
          <w:shd w:val="clear" w:color="auto" w:fill="FFFFFF"/>
          <w:lang w:val="en-ZA" w:eastAsia="en-GB"/>
        </w:rPr>
        <w:t xml:space="preserve"> multiple spectrum bands to </w:t>
      </w:r>
      <w:r w:rsidR="00F9047D">
        <w:rPr>
          <w:shd w:val="clear" w:color="auto" w:fill="FFFFFF"/>
          <w:lang w:val="en-ZA" w:eastAsia="en-GB"/>
        </w:rPr>
        <w:t>support</w:t>
      </w:r>
      <w:r w:rsidR="00F9047D" w:rsidRPr="00F9047D">
        <w:rPr>
          <w:shd w:val="clear" w:color="auto" w:fill="FFFFFF"/>
          <w:lang w:val="en-ZA" w:eastAsia="en-GB"/>
        </w:rPr>
        <w:t xml:space="preserve"> </w:t>
      </w:r>
      <w:r w:rsidR="00F9047D">
        <w:t xml:space="preserve">higher customer data capacity demands of the service and achieve better performance. </w:t>
      </w:r>
    </w:p>
    <w:p w14:paraId="3561FA41" w14:textId="453827FC" w:rsidR="001951A1" w:rsidRPr="00A14AE2" w:rsidRDefault="00F9047D" w:rsidP="004578A4">
      <w:pPr>
        <w:pStyle w:val="1"/>
      </w:pPr>
      <w:r>
        <w:t xml:space="preserve">As a member state of the </w:t>
      </w:r>
      <w:r w:rsidR="004578A4" w:rsidRPr="00A14AE2">
        <w:t>International Telecommunications Union</w:t>
      </w:r>
      <w:r w:rsidR="006371AC">
        <w:t xml:space="preserve"> (</w:t>
      </w:r>
      <w:r w:rsidR="004578A4" w:rsidRPr="00A14AE2">
        <w:t>an agency of the United Nations</w:t>
      </w:r>
      <w:r w:rsidR="006371AC">
        <w:t>)</w:t>
      </w:r>
      <w:r>
        <w:t xml:space="preserve">, </w:t>
      </w:r>
      <w:r w:rsidR="001951A1" w:rsidRPr="009F310D">
        <w:t>South Africa</w:t>
      </w:r>
      <w:r>
        <w:t xml:space="preserve"> </w:t>
      </w:r>
      <w:r w:rsidR="001951A1" w:rsidRPr="009F310D">
        <w:t>is gearing itself for full participation in the</w:t>
      </w:r>
      <w:r>
        <w:t xml:space="preserve"> Fourth</w:t>
      </w:r>
      <w:r w:rsidR="001951A1" w:rsidRPr="009F310D">
        <w:t xml:space="preserve"> Industrial Revolution</w:t>
      </w:r>
      <w:r>
        <w:t xml:space="preserve">. </w:t>
      </w:r>
      <w:r w:rsidR="00393E1B">
        <w:t xml:space="preserve"> </w:t>
      </w:r>
      <w:r w:rsidR="000304A9">
        <w:t>This distinct phase</w:t>
      </w:r>
      <w:r w:rsidR="00393E1B">
        <w:t xml:space="preserve"> will be characterised by fast-paced developments in smart technology, cloud computing, internet of things, energy storage, 3D printing and artificial intelligence</w:t>
      </w:r>
      <w:r w:rsidR="00E62B9E">
        <w:t>.</w:t>
      </w:r>
      <w:r w:rsidR="001951A1" w:rsidRPr="009F310D">
        <w:t xml:space="preserve"> </w:t>
      </w:r>
      <w:r w:rsidR="004032F1">
        <w:t xml:space="preserve"> </w:t>
      </w:r>
      <w:r w:rsidR="00393E1B">
        <w:t>Central to South Africa’s transition into this new chapter is the roll-out of</w:t>
      </w:r>
      <w:r w:rsidR="004578A4">
        <w:t xml:space="preserve"> </w:t>
      </w:r>
      <w:r w:rsidR="004578A4">
        <w:rPr>
          <w:color w:val="auto"/>
        </w:rPr>
        <w:t>fifth generation (“</w:t>
      </w:r>
      <w:r w:rsidR="004578A4" w:rsidRPr="00140C60">
        <w:rPr>
          <w:b/>
          <w:bCs/>
          <w:iCs w:val="0"/>
        </w:rPr>
        <w:t>5G</w:t>
      </w:r>
      <w:r w:rsidR="004578A4">
        <w:rPr>
          <w:color w:val="auto"/>
        </w:rPr>
        <w:t xml:space="preserve">”) </w:t>
      </w:r>
      <w:r w:rsidR="00393E1B">
        <w:t xml:space="preserve">wireless </w:t>
      </w:r>
      <w:r w:rsidR="001951A1" w:rsidRPr="009F310D">
        <w:t>technology</w:t>
      </w:r>
      <w:r w:rsidR="001951A1">
        <w:t>.</w:t>
      </w:r>
    </w:p>
    <w:p w14:paraId="2C2C87D1" w14:textId="231AD869" w:rsidR="004578A4" w:rsidRDefault="004578A4" w:rsidP="00DD38E2">
      <w:pPr>
        <w:pStyle w:val="1"/>
        <w:rPr>
          <w:color w:val="auto"/>
        </w:rPr>
      </w:pPr>
      <w:r>
        <w:rPr>
          <w:color w:val="auto"/>
        </w:rPr>
        <w:t>The 5G</w:t>
      </w:r>
      <w:r w:rsidR="00393E1B" w:rsidRPr="00E344B9">
        <w:rPr>
          <w:color w:val="auto"/>
        </w:rPr>
        <w:t xml:space="preserve"> standard supports significantly faster mobile broadband speeds and lower latencies</w:t>
      </w:r>
      <w:r>
        <w:rPr>
          <w:color w:val="auto"/>
        </w:rPr>
        <w:t xml:space="preserve"> (</w:t>
      </w:r>
      <w:r w:rsidR="00E62B9E">
        <w:rPr>
          <w:color w:val="auto"/>
        </w:rPr>
        <w:t xml:space="preserve">i.e. </w:t>
      </w:r>
      <w:r>
        <w:rPr>
          <w:color w:val="auto"/>
        </w:rPr>
        <w:t>t</w:t>
      </w:r>
      <w:r w:rsidRPr="004578A4">
        <w:rPr>
          <w:color w:val="auto"/>
        </w:rPr>
        <w:t>he delay between the sending and receiving information</w:t>
      </w:r>
      <w:r>
        <w:rPr>
          <w:color w:val="auto"/>
        </w:rPr>
        <w:t>)</w:t>
      </w:r>
      <w:r w:rsidR="00393E1B" w:rsidRPr="00E344B9">
        <w:rPr>
          <w:color w:val="auto"/>
        </w:rPr>
        <w:t xml:space="preserve"> than </w:t>
      </w:r>
      <w:r>
        <w:rPr>
          <w:color w:val="auto"/>
        </w:rPr>
        <w:t xml:space="preserve">the </w:t>
      </w:r>
      <w:r w:rsidR="00393E1B" w:rsidRPr="00E344B9">
        <w:rPr>
          <w:color w:val="auto"/>
        </w:rPr>
        <w:t>previous mobile generations</w:t>
      </w:r>
      <w:r>
        <w:rPr>
          <w:color w:val="auto"/>
        </w:rPr>
        <w:t>.</w:t>
      </w:r>
      <w:r w:rsidR="00393E1B" w:rsidRPr="00E344B9">
        <w:rPr>
          <w:color w:val="auto"/>
        </w:rPr>
        <w:t xml:space="preserve"> </w:t>
      </w:r>
      <w:r w:rsidR="004032F1">
        <w:rPr>
          <w:color w:val="auto"/>
        </w:rPr>
        <w:t xml:space="preserve"> </w:t>
      </w:r>
      <w:r>
        <w:rPr>
          <w:color w:val="auto"/>
        </w:rPr>
        <w:t xml:space="preserve">This enables </w:t>
      </w:r>
      <w:r w:rsidR="00393E1B" w:rsidRPr="00E344B9">
        <w:rPr>
          <w:color w:val="auto"/>
        </w:rPr>
        <w:t>peak download speeds of at least 20 Gbps and a reliable 100 Mbps user experience data rate in urban are</w:t>
      </w:r>
      <w:r>
        <w:rPr>
          <w:color w:val="auto"/>
        </w:rPr>
        <w:t xml:space="preserve">as. </w:t>
      </w:r>
    </w:p>
    <w:p w14:paraId="566ED791" w14:textId="036A7495" w:rsidR="004578A4" w:rsidRDefault="004578A4" w:rsidP="00DD38E2">
      <w:pPr>
        <w:pStyle w:val="1"/>
        <w:rPr>
          <w:color w:val="auto"/>
        </w:rPr>
      </w:pPr>
      <w:r>
        <w:rPr>
          <w:color w:val="auto"/>
        </w:rPr>
        <w:t xml:space="preserve">These improvements in speed and performance will enable and support </w:t>
      </w:r>
      <w:r w:rsidRPr="00E344B9">
        <w:rPr>
          <w:color w:val="auto"/>
        </w:rPr>
        <w:t>increased consumption of video as well as</w:t>
      </w:r>
      <w:r>
        <w:rPr>
          <w:color w:val="auto"/>
        </w:rPr>
        <w:t xml:space="preserve"> the</w:t>
      </w:r>
      <w:r w:rsidRPr="00E344B9">
        <w:rPr>
          <w:color w:val="auto"/>
        </w:rPr>
        <w:t xml:space="preserve"> </w:t>
      </w:r>
      <w:r w:rsidRPr="004578A4">
        <w:rPr>
          <w:shd w:val="clear" w:color="auto" w:fill="FFFFFF"/>
          <w:lang w:val="en-ZA" w:eastAsia="en-GB"/>
        </w:rPr>
        <w:t xml:space="preserve">real-time interactivity </w:t>
      </w:r>
      <w:r>
        <w:rPr>
          <w:shd w:val="clear" w:color="auto" w:fill="FFFFFF"/>
          <w:lang w:val="en-ZA" w:eastAsia="en-GB"/>
        </w:rPr>
        <w:t xml:space="preserve">required for </w:t>
      </w:r>
      <w:r w:rsidRPr="00E344B9">
        <w:rPr>
          <w:color w:val="auto"/>
        </w:rPr>
        <w:t>emerging services like virtual and augmented reality</w:t>
      </w:r>
      <w:r w:rsidR="003B134C">
        <w:rPr>
          <w:color w:val="auto"/>
        </w:rPr>
        <w:t>.</w:t>
      </w:r>
    </w:p>
    <w:p w14:paraId="5EA5D3A0" w14:textId="743E97BA" w:rsidR="00824F1E" w:rsidRPr="00E344B9" w:rsidRDefault="0062285B" w:rsidP="00DD38E2">
      <w:pPr>
        <w:pStyle w:val="1"/>
        <w:rPr>
          <w:color w:val="auto"/>
        </w:rPr>
      </w:pPr>
      <w:r>
        <w:t xml:space="preserve">The </w:t>
      </w:r>
      <w:r w:rsidRPr="00CC3795">
        <w:t xml:space="preserve">Global </w:t>
      </w:r>
      <w:r w:rsidR="00BA1743">
        <w:t>System for Mobile Communications ("</w:t>
      </w:r>
      <w:r w:rsidR="00BA1743" w:rsidRPr="00E344B9">
        <w:rPr>
          <w:b/>
          <w:bCs/>
        </w:rPr>
        <w:t>GSMA</w:t>
      </w:r>
      <w:r w:rsidR="00BA1743">
        <w:t>")</w:t>
      </w:r>
      <w:r w:rsidRPr="00CC3795">
        <w:t xml:space="preserve"> </w:t>
      </w:r>
      <w:r w:rsidR="004578A4">
        <w:t xml:space="preserve">explains </w:t>
      </w:r>
      <w:r>
        <w:t>in its report “5G Spectrum Positions”</w:t>
      </w:r>
      <w:r w:rsidR="00811E60">
        <w:t>,</w:t>
      </w:r>
      <w:r>
        <w:t xml:space="preserve"> published in March 2020</w:t>
      </w:r>
      <w:r w:rsidR="00811E60">
        <w:t>,</w:t>
      </w:r>
      <w:r>
        <w:t xml:space="preserve"> that </w:t>
      </w:r>
      <w:r w:rsidR="00824F1E">
        <w:t>5G offer</w:t>
      </w:r>
      <w:r w:rsidR="00757D8E">
        <w:t>s</w:t>
      </w:r>
      <w:r w:rsidR="00824F1E">
        <w:t xml:space="preserve"> a far greater range of capabilities than any previous mobile technology generation</w:t>
      </w:r>
      <w:r w:rsidR="001951A1">
        <w:t xml:space="preserve"> and comments that 5G will be at “the heart of the future of communications” (p1 and p3)</w:t>
      </w:r>
      <w:r w:rsidR="00811E60">
        <w:t>.</w:t>
      </w:r>
      <w:r w:rsidR="00381A93">
        <w:t xml:space="preserve"> </w:t>
      </w:r>
      <w:r w:rsidR="00811E60">
        <w:t xml:space="preserve"> </w:t>
      </w:r>
      <w:r w:rsidR="004578A4">
        <w:t>The GSMA</w:t>
      </w:r>
      <w:r w:rsidR="00536E4E">
        <w:t xml:space="preserve"> describes the key features of </w:t>
      </w:r>
      <w:r w:rsidR="00811E60">
        <w:rPr>
          <w:color w:val="auto"/>
        </w:rPr>
        <w:t xml:space="preserve">5G </w:t>
      </w:r>
      <w:r w:rsidR="00536E4E">
        <w:rPr>
          <w:color w:val="auto"/>
        </w:rPr>
        <w:t>technology as</w:t>
      </w:r>
      <w:r w:rsidR="00E62B9E">
        <w:rPr>
          <w:color w:val="auto"/>
        </w:rPr>
        <w:t xml:space="preserve"> including:</w:t>
      </w:r>
    </w:p>
    <w:p w14:paraId="1AB48A2D" w14:textId="2B4A097E" w:rsidR="00824F1E" w:rsidRPr="001951A1" w:rsidRDefault="00824F1E" w:rsidP="00DD38E2">
      <w:pPr>
        <w:pStyle w:val="2"/>
      </w:pPr>
      <w:r w:rsidRPr="00140C60">
        <w:lastRenderedPageBreak/>
        <w:t>Ultra-reliable and low latency communications</w:t>
      </w:r>
      <w:r w:rsidR="0099368B" w:rsidRPr="00140C60">
        <w:t xml:space="preserve"> use cases</w:t>
      </w:r>
      <w:r w:rsidRPr="00DD38E2">
        <w:rPr>
          <w:rStyle w:val="A10"/>
          <w:rFonts w:eastAsiaTheme="majorEastAsia" w:cs="Arial"/>
          <w:color w:val="auto"/>
        </w:rPr>
        <w:t xml:space="preserve"> </w:t>
      </w:r>
      <w:r w:rsidRPr="001951A1">
        <w:t>and very high availability, reliability and security to support services such as autonomous vehicles and mobile healthcare</w:t>
      </w:r>
      <w:r w:rsidR="00811E60" w:rsidRPr="001951A1">
        <w:t>;</w:t>
      </w:r>
    </w:p>
    <w:p w14:paraId="1B25AD27" w14:textId="525AFA78" w:rsidR="00824F1E" w:rsidRPr="00DD38E2" w:rsidRDefault="00824F1E" w:rsidP="001951A1">
      <w:pPr>
        <w:pStyle w:val="2"/>
      </w:pPr>
      <w:r w:rsidRPr="00140C60">
        <w:t>Massive machine-type communication</w:t>
      </w:r>
      <w:r w:rsidR="0099368B" w:rsidRPr="00140C60">
        <w:t xml:space="preserve"> use cases</w:t>
      </w:r>
      <w:r w:rsidR="00811E60" w:rsidRPr="00140C60">
        <w:t>,</w:t>
      </w:r>
      <w:r w:rsidR="00811E60" w:rsidRPr="001951A1">
        <w:t xml:space="preserve"> i</w:t>
      </w:r>
      <w:r w:rsidRPr="001951A1">
        <w:t xml:space="preserve">ncluding the ability to support at least one million </w:t>
      </w:r>
      <w:r w:rsidR="001951A1">
        <w:t>In</w:t>
      </w:r>
      <w:r w:rsidR="00DD38E2">
        <w:t>ternet of Things</w:t>
      </w:r>
      <w:r w:rsidR="001951A1" w:rsidRPr="001951A1">
        <w:t xml:space="preserve"> </w:t>
      </w:r>
      <w:r w:rsidRPr="001951A1">
        <w:t>connections per square kilometre</w:t>
      </w:r>
      <w:r w:rsidRPr="001951A1">
        <w:rPr>
          <w:rStyle w:val="A10"/>
          <w:rFonts w:eastAsiaTheme="majorEastAsia" w:cs="Arial"/>
          <w:color w:val="auto"/>
        </w:rPr>
        <w:t xml:space="preserve">1 </w:t>
      </w:r>
      <w:r w:rsidRPr="001951A1">
        <w:t>with very long battery life and wide coverage including inside buildings</w:t>
      </w:r>
      <w:r w:rsidR="00811E60" w:rsidRPr="00DD38E2">
        <w:t>;</w:t>
      </w:r>
    </w:p>
    <w:p w14:paraId="3C05D1E1" w14:textId="0747A351" w:rsidR="00B36C9C" w:rsidRPr="001951A1" w:rsidRDefault="00824F1E" w:rsidP="001951A1">
      <w:pPr>
        <w:pStyle w:val="2"/>
      </w:pPr>
      <w:r w:rsidRPr="00140C60">
        <w:t>Fixed wireless access</w:t>
      </w:r>
      <w:r w:rsidR="0099368B" w:rsidRPr="00140C60">
        <w:t xml:space="preserve"> use case</w:t>
      </w:r>
      <w:r w:rsidR="00811E60" w:rsidRPr="00140C60">
        <w:t>,</w:t>
      </w:r>
      <w:r w:rsidR="00811E60" w:rsidRPr="001951A1">
        <w:t xml:space="preserve"> i</w:t>
      </w:r>
      <w:r w:rsidRPr="001951A1">
        <w:t>ncluding the ability to offer fibre type speeds to home</w:t>
      </w:r>
      <w:r w:rsidRPr="00DD38E2">
        <w:t xml:space="preserve">s and businesses in both developed and developing markets using new wider frequency bands, massive </w:t>
      </w:r>
      <w:r w:rsidR="00DD38E2">
        <w:t>MIMO (</w:t>
      </w:r>
      <w:r w:rsidR="00DD38E2" w:rsidRPr="00DD38E2">
        <w:t>multiple input, multiple output</w:t>
      </w:r>
      <w:r w:rsidR="00DD38E2">
        <w:t xml:space="preserve">) </w:t>
      </w:r>
      <w:r w:rsidRPr="001951A1">
        <w:t xml:space="preserve">and 3D beamforming technologies.  </w:t>
      </w:r>
    </w:p>
    <w:p w14:paraId="7FB15329" w14:textId="22F681BE" w:rsidR="00824F1E" w:rsidRDefault="00811E60" w:rsidP="00DD38E2">
      <w:pPr>
        <w:pStyle w:val="1"/>
      </w:pPr>
      <w:r>
        <w:t xml:space="preserve">I attach </w:t>
      </w:r>
      <w:r w:rsidR="00536E4E">
        <w:t xml:space="preserve">the </w:t>
      </w:r>
      <w:r w:rsidR="00824F1E">
        <w:t>GS</w:t>
      </w:r>
      <w:r w:rsidR="00091DF0">
        <w:t>M</w:t>
      </w:r>
      <w:r w:rsidR="00824F1E">
        <w:t>A</w:t>
      </w:r>
      <w:r w:rsidR="00536E4E">
        <w:t xml:space="preserve"> Report</w:t>
      </w:r>
      <w:r w:rsidR="00824F1E">
        <w:t xml:space="preserve">, “5G Spectrum Positions” </w:t>
      </w:r>
      <w:r w:rsidR="00662296">
        <w:t xml:space="preserve">published in </w:t>
      </w:r>
      <w:r w:rsidR="00824F1E">
        <w:t>March 202</w:t>
      </w:r>
      <w:r w:rsidR="00536E4E">
        <w:t>0</w:t>
      </w:r>
      <w:r w:rsidR="00662296">
        <w:t xml:space="preserve"> as Annexure </w:t>
      </w:r>
      <w:r w:rsidR="00662296" w:rsidRPr="00140C60">
        <w:rPr>
          <w:b/>
          <w:bCs/>
        </w:rPr>
        <w:t>MMM</w:t>
      </w:r>
      <w:r w:rsidR="001A49A2">
        <w:rPr>
          <w:b/>
          <w:bCs/>
        </w:rPr>
        <w:t>2</w:t>
      </w:r>
      <w:r w:rsidR="00996610">
        <w:t>.</w:t>
      </w:r>
    </w:p>
    <w:p w14:paraId="46B5EB5D" w14:textId="2B5B3312" w:rsidR="00D66F2D" w:rsidRDefault="004252E5">
      <w:pPr>
        <w:pStyle w:val="1"/>
      </w:pPr>
      <w:r w:rsidRPr="00CC3795">
        <w:t>The Global Mobile Suppliers Association</w:t>
      </w:r>
      <w:r w:rsidR="00773637">
        <w:t xml:space="preserve"> ("</w:t>
      </w:r>
      <w:r w:rsidR="00773637" w:rsidRPr="00E344B9">
        <w:rPr>
          <w:b/>
          <w:bCs/>
        </w:rPr>
        <w:t>GSA</w:t>
      </w:r>
      <w:r w:rsidR="00773637">
        <w:t>")</w:t>
      </w:r>
      <w:r w:rsidRPr="00CC3795">
        <w:t xml:space="preserve"> has noted that </w:t>
      </w:r>
      <w:r w:rsidR="00773637">
        <w:t>as at November</w:t>
      </w:r>
      <w:r w:rsidRPr="00CC3795">
        <w:t xml:space="preserve"> 2020, 4</w:t>
      </w:r>
      <w:r w:rsidR="00CC3795" w:rsidRPr="00CC3795">
        <w:t>09</w:t>
      </w:r>
      <w:r w:rsidRPr="00CC3795">
        <w:t xml:space="preserve"> operators in 1</w:t>
      </w:r>
      <w:r w:rsidR="00CC3795" w:rsidRPr="00CC3795">
        <w:t>29</w:t>
      </w:r>
      <w:r w:rsidRPr="00CC3795">
        <w:t xml:space="preserve"> countries</w:t>
      </w:r>
      <w:r w:rsidR="00412177">
        <w:t xml:space="preserve"> </w:t>
      </w:r>
      <w:r w:rsidRPr="00CC3795">
        <w:t>were investing in 5G</w:t>
      </w:r>
      <w:r w:rsidR="00CC3795" w:rsidRPr="00CC3795">
        <w:t xml:space="preserve"> mobile or 5G home broadband networks</w:t>
      </w:r>
      <w:r w:rsidRPr="00CC3795">
        <w:t>.</w:t>
      </w:r>
      <w:r w:rsidR="00CC3795" w:rsidRPr="00CC3795">
        <w:t xml:space="preserve"> </w:t>
      </w:r>
      <w:r w:rsidR="00E04D67">
        <w:t xml:space="preserve"> </w:t>
      </w:r>
      <w:r w:rsidR="00CC3795" w:rsidRPr="00CC3795">
        <w:t>GSA has identified 148 operators in 66</w:t>
      </w:r>
      <w:r w:rsidR="00CC3795">
        <w:t xml:space="preserve"> </w:t>
      </w:r>
      <w:r w:rsidR="00CC3795" w:rsidRPr="00CC3795">
        <w:t>countries that have stated that they have activated one or more 5G sites within their live commercial network</w:t>
      </w:r>
      <w:r w:rsidR="00D66F2D">
        <w:t xml:space="preserve">.  I attach the GSA Report “Evolution from LTE to 5G” published in November 2020 as Annexure </w:t>
      </w:r>
      <w:r w:rsidR="007B5C94">
        <w:rPr>
          <w:b/>
          <w:bCs/>
        </w:rPr>
        <w:t>MMM</w:t>
      </w:r>
      <w:r w:rsidR="001A49A2">
        <w:rPr>
          <w:b/>
          <w:bCs/>
        </w:rPr>
        <w:t>3</w:t>
      </w:r>
      <w:r w:rsidR="00D66F2D">
        <w:t xml:space="preserve">. </w:t>
      </w:r>
    </w:p>
    <w:p w14:paraId="32AF3F56" w14:textId="31245F72" w:rsidR="00D66F2D" w:rsidRDefault="005435EB">
      <w:pPr>
        <w:pStyle w:val="1"/>
      </w:pPr>
      <w:r>
        <w:t xml:space="preserve">5G as a technology requires spectrum in all bands. </w:t>
      </w:r>
      <w:r w:rsidR="001A1A09">
        <w:t xml:space="preserve"> </w:t>
      </w:r>
      <w:r w:rsidR="00D66F2D">
        <w:t>The GS</w:t>
      </w:r>
      <w:r w:rsidR="000E75EE">
        <w:t>M</w:t>
      </w:r>
      <w:r w:rsidR="00D66F2D">
        <w:t>A explains</w:t>
      </w:r>
      <w:r w:rsidR="00B36C9C">
        <w:t xml:space="preserve"> in its Report “5G Spectrum Positions” at p</w:t>
      </w:r>
      <w:r w:rsidR="00BD519E">
        <w:t>2</w:t>
      </w:r>
      <w:r w:rsidR="00D66F2D">
        <w:t xml:space="preserve">: </w:t>
      </w:r>
    </w:p>
    <w:p w14:paraId="34215C35" w14:textId="0A39FD47" w:rsidR="00D66F2D" w:rsidRDefault="00D66F2D" w:rsidP="003A1423">
      <w:pPr>
        <w:pStyle w:val="Quote"/>
      </w:pPr>
      <w:r>
        <w:lastRenderedPageBreak/>
        <w:t xml:space="preserve">“5G needs spectrum across low, mid and high spectrum ranges to deliver widespread coverage and support all use cases. All three have important roles to play: </w:t>
      </w:r>
    </w:p>
    <w:p w14:paraId="7EDB21CF" w14:textId="77777777" w:rsidR="00D66F2D" w:rsidRDefault="00D66F2D">
      <w:pPr>
        <w:pStyle w:val="Quote"/>
      </w:pPr>
      <w:r>
        <w:t>- Low-bands (e.g. sub-1 GHz) support widespread coverage across urban, suburban and rural areas and help support Internet of Things (IoT) services.</w:t>
      </w:r>
    </w:p>
    <w:p w14:paraId="37AD0A1F" w14:textId="77777777" w:rsidR="00D66F2D" w:rsidRDefault="00D66F2D">
      <w:pPr>
        <w:pStyle w:val="Quote"/>
      </w:pPr>
      <w:r>
        <w:t xml:space="preserve">- Mid-bands typically offer a good mixture of coverage and capacity benefits. The majority of commercial 5G networks are relying on spectrum within the 3.3-3.8 GHz range. Other bands which may be assigned to, or </w:t>
      </w:r>
      <w:proofErr w:type="spellStart"/>
      <w:r>
        <w:t>refarmed</w:t>
      </w:r>
      <w:proofErr w:type="spellEnd"/>
      <w:r>
        <w:t xml:space="preserve"> by, operators for 5G include 1800 MHz, 2.3 GHz and 2.6 GHz. In the long term, more spectrum is needed to maintain 5G quality of service and growing demand, in bands between 3 and 24 GHz.</w:t>
      </w:r>
    </w:p>
    <w:p w14:paraId="28769288" w14:textId="21D3134D" w:rsidR="00A14AE2" w:rsidRDefault="00D66F2D">
      <w:pPr>
        <w:pStyle w:val="Quote"/>
      </w:pPr>
      <w:r>
        <w:t>- High-bands are needed to meet the ultra-high broadband speeds envisioned for 5G. Currently, 26 GHz, 28 GHz and 40 GHz have the most international support and momentum.”</w:t>
      </w:r>
    </w:p>
    <w:p w14:paraId="36E6F1FC" w14:textId="234099EA" w:rsidR="00B36C9C" w:rsidRDefault="00B36C9C" w:rsidP="006E2522">
      <w:pPr>
        <w:pStyle w:val="1"/>
      </w:pPr>
      <w:r w:rsidRPr="00E344B9">
        <w:t>The GS</w:t>
      </w:r>
      <w:r w:rsidR="008A38BD" w:rsidRPr="00E344B9">
        <w:t>M</w:t>
      </w:r>
      <w:r w:rsidRPr="00E344B9">
        <w:t>A notes that</w:t>
      </w:r>
      <w:r w:rsidR="00381A93">
        <w:t xml:space="preserve"> the</w:t>
      </w:r>
      <w:r w:rsidRPr="00E344B9">
        <w:t xml:space="preserve"> 3500MHz band has </w:t>
      </w:r>
      <w:r w:rsidR="0099368B" w:rsidRPr="00E344B9">
        <w:t>e</w:t>
      </w:r>
      <w:r w:rsidRPr="00E344B9">
        <w:t>merged as the primary spectrum band to support the roll out of 5G technology.  It is often referred to as the “anchor band</w:t>
      </w:r>
      <w:r w:rsidR="0099368B" w:rsidRPr="00E344B9">
        <w:t>”</w:t>
      </w:r>
      <w:r w:rsidR="00662296">
        <w:t xml:space="preserve"> for 5G.</w:t>
      </w:r>
    </w:p>
    <w:p w14:paraId="3B3DF3D6" w14:textId="4DF4955D" w:rsidR="00662296" w:rsidRPr="00E344B9" w:rsidRDefault="001B356B" w:rsidP="00662296">
      <w:pPr>
        <w:pStyle w:val="1"/>
      </w:pPr>
      <w:r>
        <w:t>Indeed, the</w:t>
      </w:r>
      <w:r w:rsidR="00662296" w:rsidRPr="00A14AE2">
        <w:t xml:space="preserve"> International Telecommunications Union</w:t>
      </w:r>
      <w:r w:rsidR="00662296">
        <w:t xml:space="preserve"> </w:t>
      </w:r>
      <w:r w:rsidR="00662296" w:rsidRPr="00A14AE2">
        <w:t xml:space="preserve">has </w:t>
      </w:r>
      <w:r w:rsidR="00662296">
        <w:t xml:space="preserve">determined that for countries in Region 1 </w:t>
      </w:r>
      <w:r w:rsidR="00E62B9E">
        <w:t>--</w:t>
      </w:r>
      <w:r w:rsidR="00662296">
        <w:t xml:space="preserve"> which includes South Africa </w:t>
      </w:r>
      <w:r w:rsidR="00E62B9E">
        <w:t xml:space="preserve">-- </w:t>
      </w:r>
      <w:r w:rsidR="00662296" w:rsidRPr="00A14AE2">
        <w:t>the roll</w:t>
      </w:r>
      <w:r w:rsidR="00E62B9E">
        <w:t>-</w:t>
      </w:r>
      <w:r w:rsidR="00662296" w:rsidRPr="00A14AE2">
        <w:t xml:space="preserve">out of 5G technology requires </w:t>
      </w:r>
      <w:r>
        <w:t xml:space="preserve">3400MHz to 3600MHz </w:t>
      </w:r>
      <w:r w:rsidR="00662296" w:rsidRPr="00A14AE2">
        <w:t>mid</w:t>
      </w:r>
      <w:r>
        <w:t xml:space="preserve">-frequency </w:t>
      </w:r>
      <w:r w:rsidR="00662296" w:rsidRPr="00A14AE2">
        <w:t xml:space="preserve">bands. </w:t>
      </w:r>
    </w:p>
    <w:p w14:paraId="66D10EE1" w14:textId="07DC833F" w:rsidR="00B36C9C" w:rsidRDefault="00B36C9C" w:rsidP="00EA27FB">
      <w:pPr>
        <w:pStyle w:val="1"/>
      </w:pPr>
      <w:r w:rsidRPr="00E344B9">
        <w:t xml:space="preserve">Spectrum in the </w:t>
      </w:r>
      <w:r w:rsidR="001B356B">
        <w:t>3000MHz</w:t>
      </w:r>
      <w:r w:rsidRPr="00E344B9">
        <w:t xml:space="preserve"> range (from </w:t>
      </w:r>
      <w:r w:rsidR="001B356B">
        <w:t xml:space="preserve">3300MHz to </w:t>
      </w:r>
      <w:r w:rsidR="00EA27FB">
        <w:t xml:space="preserve">3800MHz and up to </w:t>
      </w:r>
      <w:r w:rsidR="001B356B">
        <w:t>4200MHz</w:t>
      </w:r>
      <w:r w:rsidRPr="00E344B9">
        <w:t>) provides a good balance of coverage and capacity</w:t>
      </w:r>
      <w:r w:rsidR="001B356B">
        <w:t>.</w:t>
      </w:r>
      <w:r w:rsidR="00EA27FB">
        <w:t xml:space="preserve">  This spectrum </w:t>
      </w:r>
      <w:r w:rsidR="00EA27FB">
        <w:lastRenderedPageBreak/>
        <w:t xml:space="preserve">band is </w:t>
      </w:r>
      <w:r w:rsidRPr="00E344B9">
        <w:t xml:space="preserve">already being used for commercial 5G services in </w:t>
      </w:r>
      <w:proofErr w:type="gramStart"/>
      <w:r w:rsidR="0099368B" w:rsidRPr="00E344B9">
        <w:t>a number of</w:t>
      </w:r>
      <w:proofErr w:type="gramEnd"/>
      <w:r w:rsidR="0099368B" w:rsidRPr="00E344B9">
        <w:t xml:space="preserve"> </w:t>
      </w:r>
      <w:r w:rsidRPr="00E344B9">
        <w:t>countries</w:t>
      </w:r>
      <w:r w:rsidR="00EA27FB">
        <w:t>.</w:t>
      </w:r>
    </w:p>
    <w:p w14:paraId="6C98A460" w14:textId="31A3B8BE" w:rsidR="00B36C9C" w:rsidRPr="001C1D07" w:rsidRDefault="00B36C9C">
      <w:pPr>
        <w:pStyle w:val="1"/>
        <w:rPr>
          <w:rFonts w:ascii="Times New Roman" w:hAnsi="Times New Roman"/>
          <w:lang w:val="en-ZA" w:eastAsia="en-GB"/>
        </w:rPr>
      </w:pPr>
      <w:r w:rsidRPr="004252E5">
        <w:rPr>
          <w:lang w:val="en-ZA" w:eastAsia="en-GB"/>
        </w:rPr>
        <w:t xml:space="preserve">One hundred and ninety-five operators </w:t>
      </w:r>
      <w:r w:rsidR="00357196">
        <w:rPr>
          <w:lang w:val="en-ZA" w:eastAsia="en-GB"/>
        </w:rPr>
        <w:t xml:space="preserve">around the world </w:t>
      </w:r>
      <w:r w:rsidRPr="004252E5">
        <w:rPr>
          <w:lang w:val="en-ZA" w:eastAsia="en-GB"/>
        </w:rPr>
        <w:t xml:space="preserve">are known to have been investing in 5G (in the form of trials, payments for licences, deployments or launches) using </w:t>
      </w:r>
      <w:r>
        <w:rPr>
          <w:lang w:val="en-ZA" w:eastAsia="en-GB"/>
        </w:rPr>
        <w:t>the 3500MH</w:t>
      </w:r>
      <w:r w:rsidR="00133474">
        <w:rPr>
          <w:lang w:val="en-ZA" w:eastAsia="en-GB"/>
        </w:rPr>
        <w:t>z</w:t>
      </w:r>
      <w:r w:rsidRPr="004252E5">
        <w:rPr>
          <w:lang w:val="en-ZA" w:eastAsia="en-GB"/>
        </w:rPr>
        <w:t xml:space="preserve"> spectrum</w:t>
      </w:r>
      <w:r w:rsidR="00236B27">
        <w:rPr>
          <w:lang w:val="en-ZA" w:eastAsia="en-GB"/>
        </w:rPr>
        <w:t xml:space="preserve">, and </w:t>
      </w:r>
      <w:r w:rsidRPr="004252E5">
        <w:rPr>
          <w:lang w:val="en-ZA" w:eastAsia="en-GB"/>
        </w:rPr>
        <w:t>at least 93 operators are deploying</w:t>
      </w:r>
      <w:r>
        <w:rPr>
          <w:lang w:val="en-ZA" w:eastAsia="en-GB"/>
        </w:rPr>
        <w:t xml:space="preserve"> or </w:t>
      </w:r>
      <w:r w:rsidRPr="004252E5">
        <w:rPr>
          <w:lang w:val="en-ZA" w:eastAsia="en-GB"/>
        </w:rPr>
        <w:t xml:space="preserve">have launched 5G in this spectrum range. </w:t>
      </w:r>
      <w:r w:rsidR="00A94832">
        <w:rPr>
          <w:lang w:val="en-ZA" w:eastAsia="en-GB"/>
        </w:rPr>
        <w:t xml:space="preserve"> </w:t>
      </w:r>
    </w:p>
    <w:p w14:paraId="596865C4" w14:textId="33BF9C9E" w:rsidR="001C1D07" w:rsidRPr="001C1D07" w:rsidRDefault="00A94832" w:rsidP="00D71462">
      <w:pPr>
        <w:pStyle w:val="1"/>
      </w:pPr>
      <w:r>
        <w:rPr>
          <w:lang w:val="en-ZA" w:eastAsia="en-GB"/>
        </w:rPr>
        <w:t xml:space="preserve">In anticipation of the full roll-out of 5G networks, </w:t>
      </w:r>
      <w:r w:rsidR="00236B27">
        <w:rPr>
          <w:lang w:val="en-ZA" w:eastAsia="en-GB"/>
        </w:rPr>
        <w:t xml:space="preserve">and with the knowledge that almost half of all operators investing in 5G technology across the world are relying on spectrum in the 3000MHz range, </w:t>
      </w:r>
      <w:r>
        <w:rPr>
          <w:lang w:val="en-ZA" w:eastAsia="en-GB"/>
        </w:rPr>
        <w:t xml:space="preserve">mobile telephone manufacturers have </w:t>
      </w:r>
      <w:r w:rsidR="00236B27">
        <w:rPr>
          <w:lang w:val="en-ZA" w:eastAsia="en-GB"/>
        </w:rPr>
        <w:t>begun building</w:t>
      </w:r>
      <w:r>
        <w:rPr>
          <w:lang w:val="en-ZA" w:eastAsia="en-GB"/>
        </w:rPr>
        <w:t xml:space="preserve"> 3500MHz capability into </w:t>
      </w:r>
      <w:r w:rsidR="00236B27">
        <w:rPr>
          <w:lang w:val="en-ZA" w:eastAsia="en-GB"/>
        </w:rPr>
        <w:t>newly released</w:t>
      </w:r>
      <w:r w:rsidR="00D71462">
        <w:rPr>
          <w:lang w:val="en-ZA" w:eastAsia="en-GB"/>
        </w:rPr>
        <w:t xml:space="preserve"> handsets</w:t>
      </w:r>
      <w:r w:rsidR="007D3236">
        <w:rPr>
          <w:lang w:val="en-ZA" w:eastAsia="en-GB"/>
        </w:rPr>
        <w:t xml:space="preserve"> and devices</w:t>
      </w:r>
      <w:r w:rsidR="00D71462">
        <w:rPr>
          <w:lang w:val="en-ZA" w:eastAsia="en-GB"/>
        </w:rPr>
        <w:t xml:space="preserve">. </w:t>
      </w:r>
      <w:r w:rsidR="0014583C">
        <w:rPr>
          <w:lang w:val="en-ZA" w:eastAsia="en-GB"/>
        </w:rPr>
        <w:t xml:space="preserve"> </w:t>
      </w:r>
      <w:r w:rsidR="00D71462">
        <w:rPr>
          <w:lang w:val="en-ZA" w:eastAsia="en-GB"/>
        </w:rPr>
        <w:t>I</w:t>
      </w:r>
      <w:r>
        <w:rPr>
          <w:lang w:val="en-ZA" w:eastAsia="en-GB"/>
        </w:rPr>
        <w:t xml:space="preserve">n the result, the </w:t>
      </w:r>
      <w:r w:rsidR="001C1D07">
        <w:t>3500MHz</w:t>
      </w:r>
      <w:r>
        <w:t xml:space="preserve"> frequency band</w:t>
      </w:r>
      <w:r w:rsidR="001C1D07">
        <w:t xml:space="preserve"> has the biggest device eco-system for 5G at this moment </w:t>
      </w:r>
      <w:r w:rsidR="00B749EC">
        <w:t xml:space="preserve">in </w:t>
      </w:r>
      <w:r w:rsidR="001C1D07">
        <w:t xml:space="preserve">time. </w:t>
      </w:r>
    </w:p>
    <w:p w14:paraId="6A20C783" w14:textId="3B12DE90" w:rsidR="005435EB" w:rsidRDefault="00847279" w:rsidP="006E2522">
      <w:pPr>
        <w:pStyle w:val="1"/>
      </w:pPr>
      <w:r>
        <w:t xml:space="preserve">The </w:t>
      </w:r>
      <w:r w:rsidR="00374849">
        <w:t xml:space="preserve">roll-out of 5G technology also requires a minimum quantity of appropriate spectrum.  </w:t>
      </w:r>
      <w:r w:rsidR="001A1A09">
        <w:t>The GS</w:t>
      </w:r>
      <w:r w:rsidR="00133474">
        <w:t>M</w:t>
      </w:r>
      <w:r w:rsidR="001A1A09">
        <w:t>A notes that:</w:t>
      </w:r>
      <w:r w:rsidR="00B36C9C">
        <w:t xml:space="preserve"> </w:t>
      </w:r>
      <w:r w:rsidR="00F371E0">
        <w:t>"</w:t>
      </w:r>
      <w:r w:rsidR="00B36C9C" w:rsidRPr="00140C60">
        <w:rPr>
          <w:i/>
          <w:iCs w:val="0"/>
        </w:rPr>
        <w:t>It is vital that regulators assign as much contiguous spectrum as possible in the 3.5 GHz range (3.3 GHz-4.2 GHz)</w:t>
      </w:r>
      <w:r w:rsidR="00B36C9C">
        <w:t>.”  It suggests 80-100MHz per operator. (5G Spectrum Positions; p</w:t>
      </w:r>
      <w:r w:rsidR="0074153B">
        <w:t>6</w:t>
      </w:r>
      <w:r w:rsidR="00B36C9C">
        <w:t>)</w:t>
      </w:r>
    </w:p>
    <w:p w14:paraId="626A7536" w14:textId="6B65538D" w:rsidR="00374849" w:rsidRDefault="00412177" w:rsidP="00412177">
      <w:pPr>
        <w:pStyle w:val="1"/>
      </w:pPr>
      <w:r>
        <w:t xml:space="preserve">I explain below the current spectrum allocations of the major operators in South Africa.  I pause, however, at this point to note that </w:t>
      </w:r>
      <w:r w:rsidR="00374849">
        <w:t xml:space="preserve">neither </w:t>
      </w:r>
      <w:r>
        <w:t>MTN</w:t>
      </w:r>
      <w:r w:rsidR="00067DF8">
        <w:t xml:space="preserve">, </w:t>
      </w:r>
      <w:r w:rsidR="00374849">
        <w:t>Vodacom</w:t>
      </w:r>
      <w:r w:rsidR="00067DF8">
        <w:t xml:space="preserve"> nor Cell C</w:t>
      </w:r>
      <w:r w:rsidR="00374849">
        <w:t xml:space="preserve"> </w:t>
      </w:r>
      <w:r w:rsidR="007D3236">
        <w:t>currently hold</w:t>
      </w:r>
      <w:r w:rsidR="00374849">
        <w:t xml:space="preserve"> </w:t>
      </w:r>
      <w:r>
        <w:t>spectrum in the 3500</w:t>
      </w:r>
      <w:r w:rsidR="00374849">
        <w:t>MHz</w:t>
      </w:r>
      <w:r>
        <w:t xml:space="preserve"> range.  </w:t>
      </w:r>
    </w:p>
    <w:p w14:paraId="365B294F" w14:textId="77777777" w:rsidR="00374849" w:rsidRDefault="00374849" w:rsidP="00412177">
      <w:pPr>
        <w:pStyle w:val="1"/>
      </w:pPr>
      <w:r>
        <w:t xml:space="preserve">To date, ICASA has assigned spectrum in the 3500MHz frequency band to Telkom (28MHz) and Liquid (56MHz).   It has also assigned 80MHz of spectrum in the 3700MHz frequency band to Rain. </w:t>
      </w:r>
    </w:p>
    <w:p w14:paraId="153388A6" w14:textId="55ADF240" w:rsidR="00487746" w:rsidRDefault="00B56D53">
      <w:pPr>
        <w:pStyle w:val="Heading1"/>
      </w:pPr>
      <w:bookmarkStart w:id="3" w:name="_Toc62222139"/>
      <w:r>
        <w:lastRenderedPageBreak/>
        <w:t>THE ITA PROCESS</w:t>
      </w:r>
      <w:r w:rsidR="00C645B8">
        <w:t xml:space="preserve"> TO DATE</w:t>
      </w:r>
      <w:bookmarkEnd w:id="3"/>
    </w:p>
    <w:p w14:paraId="2BFEF572" w14:textId="0B2B91E3" w:rsidR="001552EA" w:rsidRDefault="006446FC" w:rsidP="006E2522">
      <w:pPr>
        <w:pStyle w:val="1"/>
      </w:pPr>
      <w:r>
        <w:t>Shortly after the publication of the ITA on 2 October 2020, ICASA</w:t>
      </w:r>
      <w:r w:rsidR="001552EA">
        <w:t xml:space="preserve"> invited stakeholders and the public to submit clarity-seeking enquiries on the provisions of the ITA and undertook to respond to those enquiries.  </w:t>
      </w:r>
    </w:p>
    <w:p w14:paraId="1EE8CD38" w14:textId="5EBC3E24" w:rsidR="00C645B8" w:rsidRPr="001552EA" w:rsidRDefault="00C12F4F" w:rsidP="001951A1">
      <w:pPr>
        <w:pStyle w:val="1"/>
      </w:pPr>
      <w:r>
        <w:t xml:space="preserve">On 22 October 2020, </w:t>
      </w:r>
      <w:r w:rsidR="001552EA">
        <w:t xml:space="preserve">MTN, along with </w:t>
      </w:r>
      <w:proofErr w:type="gramStart"/>
      <w:r w:rsidR="001552EA">
        <w:t>a number of</w:t>
      </w:r>
      <w:proofErr w:type="gramEnd"/>
      <w:r w:rsidR="001552EA">
        <w:t xml:space="preserve"> other stakeholders, submitted </w:t>
      </w:r>
      <w:r>
        <w:t>clarification questions</w:t>
      </w:r>
      <w:r w:rsidR="00CD7C7E">
        <w:t>,</w:t>
      </w:r>
      <w:r>
        <w:t xml:space="preserve"> </w:t>
      </w:r>
      <w:r w:rsidR="001552EA">
        <w:t>requesting further information and clarity on particular provisions of the ITA</w:t>
      </w:r>
      <w:r w:rsidR="00C645B8" w:rsidRPr="004C7398">
        <w:t xml:space="preserve">. </w:t>
      </w:r>
      <w:r w:rsidR="00B7018E">
        <w:t xml:space="preserve"> </w:t>
      </w:r>
      <w:r w:rsidR="00B50F5E">
        <w:t xml:space="preserve">Copies </w:t>
      </w:r>
      <w:r w:rsidR="00C645B8" w:rsidRPr="004C7398">
        <w:t>of the queries letter together with its annexure A are attached hereto marked annexures</w:t>
      </w:r>
      <w:r w:rsidR="00B50F5E">
        <w:t xml:space="preserve"> </w:t>
      </w:r>
      <w:bookmarkStart w:id="4" w:name="_Hlk62126249"/>
      <w:r w:rsidR="002E48E6">
        <w:rPr>
          <w:b/>
          <w:bCs/>
        </w:rPr>
        <w:t>MMM</w:t>
      </w:r>
      <w:r w:rsidR="00F86477">
        <w:rPr>
          <w:b/>
          <w:bCs/>
        </w:rPr>
        <w:t>4</w:t>
      </w:r>
      <w:bookmarkEnd w:id="4"/>
      <w:r w:rsidR="00C645B8" w:rsidRPr="001552EA">
        <w:rPr>
          <w:b/>
          <w:bCs/>
        </w:rPr>
        <w:t xml:space="preserve"> and </w:t>
      </w:r>
      <w:r w:rsidR="002E48E6">
        <w:rPr>
          <w:b/>
          <w:bCs/>
        </w:rPr>
        <w:t>MMM</w:t>
      </w:r>
      <w:r w:rsidR="00F86477">
        <w:rPr>
          <w:b/>
          <w:bCs/>
        </w:rPr>
        <w:t>5</w:t>
      </w:r>
      <w:r w:rsidR="00C645B8" w:rsidRPr="001552EA">
        <w:rPr>
          <w:b/>
          <w:bCs/>
        </w:rPr>
        <w:t>.</w:t>
      </w:r>
    </w:p>
    <w:p w14:paraId="4D279250" w14:textId="0EBBF554" w:rsidR="001552EA" w:rsidRPr="004C7398" w:rsidRDefault="001552EA" w:rsidP="00DD38E2">
      <w:pPr>
        <w:pStyle w:val="1"/>
      </w:pPr>
      <w:r w:rsidRPr="004C7398">
        <w:t xml:space="preserve">On 11 November 2020, ICASA published a general response document in which it </w:t>
      </w:r>
      <w:r w:rsidR="007B4064">
        <w:t>responded</w:t>
      </w:r>
      <w:r w:rsidRPr="004C7398">
        <w:t xml:space="preserve"> to queries raised by persons who </w:t>
      </w:r>
      <w:r w:rsidR="00757D8E">
        <w:t xml:space="preserve">had </w:t>
      </w:r>
      <w:r w:rsidRPr="004C7398">
        <w:t xml:space="preserve">submitted </w:t>
      </w:r>
      <w:r w:rsidR="007B4064">
        <w:t>clarification questions</w:t>
      </w:r>
      <w:r w:rsidR="007B4064" w:rsidRPr="004C7398">
        <w:t xml:space="preserve"> </w:t>
      </w:r>
      <w:r w:rsidRPr="004C7398">
        <w:t>by 22 October 2020</w:t>
      </w:r>
      <w:r w:rsidR="003D23FB">
        <w:t xml:space="preserve"> (“</w:t>
      </w:r>
      <w:r w:rsidR="003D23FB" w:rsidRPr="00E344B9">
        <w:rPr>
          <w:b/>
          <w:bCs/>
        </w:rPr>
        <w:t>the Response Document</w:t>
      </w:r>
      <w:r w:rsidR="003D23FB">
        <w:t>”).</w:t>
      </w:r>
      <w:r w:rsidR="00DF1264">
        <w:t xml:space="preserve">  The </w:t>
      </w:r>
      <w:r w:rsidR="003D23FB">
        <w:t>R</w:t>
      </w:r>
      <w:r w:rsidR="00757D8E">
        <w:t>e</w:t>
      </w:r>
      <w:r w:rsidR="008F6437">
        <w:t xml:space="preserve">sponse </w:t>
      </w:r>
      <w:r w:rsidR="00895403">
        <w:t>D</w:t>
      </w:r>
      <w:r w:rsidR="008F6437">
        <w:t>ocument</w:t>
      </w:r>
      <w:r w:rsidR="00DF1264">
        <w:t xml:space="preserve"> is </w:t>
      </w:r>
      <w:r w:rsidR="00DF1264" w:rsidRPr="004C7398">
        <w:t xml:space="preserve">attached </w:t>
      </w:r>
      <w:r w:rsidR="00DF1264">
        <w:t>as</w:t>
      </w:r>
      <w:r w:rsidR="00DF1264" w:rsidRPr="004C7398">
        <w:t xml:space="preserve"> annexure </w:t>
      </w:r>
      <w:r w:rsidR="002E48E6">
        <w:rPr>
          <w:b/>
          <w:bCs/>
        </w:rPr>
        <w:t>MMM</w:t>
      </w:r>
      <w:r w:rsidR="00F86477">
        <w:rPr>
          <w:b/>
          <w:bCs/>
        </w:rPr>
        <w:t>6</w:t>
      </w:r>
      <w:r w:rsidR="00DF1264">
        <w:rPr>
          <w:b/>
          <w:bCs/>
        </w:rPr>
        <w:t>.</w:t>
      </w:r>
    </w:p>
    <w:p w14:paraId="26EBC402" w14:textId="5BBF454C" w:rsidR="001552EA" w:rsidRDefault="001552EA" w:rsidP="00412177">
      <w:pPr>
        <w:pStyle w:val="1"/>
      </w:pPr>
      <w:r>
        <w:t xml:space="preserve">I </w:t>
      </w:r>
      <w:r w:rsidR="000B643B">
        <w:t xml:space="preserve">shall </w:t>
      </w:r>
      <w:r>
        <w:t xml:space="preserve">deal </w:t>
      </w:r>
      <w:r w:rsidR="000B643B">
        <w:t xml:space="preserve">later in this affidavit </w:t>
      </w:r>
      <w:r>
        <w:t xml:space="preserve">with the specific queries raised by MTN and ICASA’s responses </w:t>
      </w:r>
      <w:r w:rsidR="00757D8E">
        <w:t xml:space="preserve">to those queries.  </w:t>
      </w:r>
      <w:r>
        <w:t>I note, however, at this stage that i</w:t>
      </w:r>
      <w:r w:rsidR="00C645B8" w:rsidRPr="004C7398">
        <w:t xml:space="preserve">t is apparent that MTN raised </w:t>
      </w:r>
      <w:proofErr w:type="gramStart"/>
      <w:r w:rsidR="00C645B8" w:rsidRPr="004C7398">
        <w:t>a number of</w:t>
      </w:r>
      <w:proofErr w:type="gramEnd"/>
      <w:r w:rsidR="00C645B8" w:rsidRPr="004C7398">
        <w:t xml:space="preserve"> queries regarding the Opt-In Scheme</w:t>
      </w:r>
      <w:r w:rsidR="00C645B8">
        <w:t xml:space="preserve"> and the </w:t>
      </w:r>
      <w:r w:rsidR="00CA3738">
        <w:t xml:space="preserve">Operator Categorisation but that these </w:t>
      </w:r>
      <w:r w:rsidR="00C645B8" w:rsidRPr="004C7398">
        <w:t>queries went largely unanswered by ICASA</w:t>
      </w:r>
      <w:r>
        <w:t xml:space="preserve">.  The Response Document repeatedly referred bidders to the “Reasons Document” that ICASA would publish in due course. </w:t>
      </w:r>
      <w:r w:rsidR="00757D8E">
        <w:t xml:space="preserve"> </w:t>
      </w:r>
    </w:p>
    <w:p w14:paraId="3F10D5FD" w14:textId="3D2C2229" w:rsidR="00C645B8" w:rsidRPr="004C7398" w:rsidRDefault="00C645B8">
      <w:pPr>
        <w:pStyle w:val="1"/>
      </w:pPr>
      <w:r w:rsidRPr="004C7398">
        <w:t xml:space="preserve">On 25 November 2020, MTN wrote a letter to ICASA because ICASA had not indicated the date when the reasons document would be published, and the application submission deadline was fast approaching. </w:t>
      </w:r>
      <w:r w:rsidR="00946099">
        <w:t xml:space="preserve"> </w:t>
      </w:r>
      <w:r w:rsidRPr="004C7398">
        <w:t>In the letter</w:t>
      </w:r>
      <w:r w:rsidR="00CA3738">
        <w:t>,</w:t>
      </w:r>
      <w:r w:rsidRPr="004C7398">
        <w:t xml:space="preserve"> MTN sought confirmation of when the reasons document would be published and further clarity on issues ICASA had failed to clarify or answer at all. </w:t>
      </w:r>
      <w:r w:rsidR="003D7AE1">
        <w:t xml:space="preserve"> </w:t>
      </w:r>
      <w:r w:rsidRPr="004C7398">
        <w:t xml:space="preserve">A copy of </w:t>
      </w:r>
      <w:r w:rsidRPr="004C7398">
        <w:lastRenderedPageBreak/>
        <w:t xml:space="preserve">the letter is attached hereto marked annexure </w:t>
      </w:r>
      <w:r w:rsidR="002E48E6">
        <w:rPr>
          <w:b/>
          <w:bCs/>
        </w:rPr>
        <w:t>MMM</w:t>
      </w:r>
      <w:r w:rsidR="00F86477">
        <w:rPr>
          <w:b/>
          <w:bCs/>
        </w:rPr>
        <w:t>7</w:t>
      </w:r>
      <w:r w:rsidRPr="004C7398">
        <w:rPr>
          <w:b/>
          <w:bCs/>
        </w:rPr>
        <w:t xml:space="preserve">. </w:t>
      </w:r>
      <w:r w:rsidR="003D7AE1">
        <w:rPr>
          <w:b/>
          <w:bCs/>
        </w:rPr>
        <w:t xml:space="preserve"> </w:t>
      </w:r>
      <w:r w:rsidRPr="004C7398">
        <w:t>It is apparent from the letter that MTN had not received answers or clarifications regarding</w:t>
      </w:r>
      <w:r w:rsidR="00CA3738">
        <w:t xml:space="preserve"> many of its questions. </w:t>
      </w:r>
    </w:p>
    <w:p w14:paraId="03EE1C96" w14:textId="2B686FDA" w:rsidR="00C645B8" w:rsidRPr="004C7398" w:rsidRDefault="00C645B8">
      <w:pPr>
        <w:pStyle w:val="1"/>
      </w:pPr>
      <w:r w:rsidRPr="004C7398">
        <w:t>On 27 November 2020, ICASA announced that it would publish the reasons document on 4 December 2020.</w:t>
      </w:r>
      <w:r w:rsidR="00DF1264">
        <w:t xml:space="preserve"> </w:t>
      </w:r>
    </w:p>
    <w:p w14:paraId="60CB5984" w14:textId="623CAF4F" w:rsidR="00C645B8" w:rsidRPr="004C7398" w:rsidRDefault="00C645B8">
      <w:pPr>
        <w:pStyle w:val="1"/>
        <w:rPr>
          <w:b/>
          <w:bCs/>
        </w:rPr>
      </w:pPr>
      <w:r w:rsidRPr="004C7398">
        <w:t>On 4 December 2020, ICASA published its much</w:t>
      </w:r>
      <w:r w:rsidR="00EA754D">
        <w:t>-</w:t>
      </w:r>
      <w:r w:rsidRPr="004C7398">
        <w:t>anticipated reasons document</w:t>
      </w:r>
      <w:r w:rsidR="00CA3738">
        <w:t xml:space="preserve"> (“</w:t>
      </w:r>
      <w:r w:rsidR="00CA3738" w:rsidRPr="00E344B9">
        <w:rPr>
          <w:b/>
          <w:bCs/>
        </w:rPr>
        <w:t>the Reasons Document</w:t>
      </w:r>
      <w:r w:rsidR="00CA3738">
        <w:t>”)</w:t>
      </w:r>
      <w:r w:rsidR="00EA754D">
        <w:t xml:space="preserve">.  </w:t>
      </w:r>
      <w:r w:rsidR="00CA3738">
        <w:t xml:space="preserve">A copy of the </w:t>
      </w:r>
      <w:r w:rsidR="00EA754D">
        <w:t xml:space="preserve">Reasons Document is </w:t>
      </w:r>
      <w:r w:rsidR="00EA754D" w:rsidRPr="004C7398">
        <w:t xml:space="preserve">attached </w:t>
      </w:r>
      <w:r w:rsidR="00EA754D">
        <w:t>as</w:t>
      </w:r>
      <w:r w:rsidR="00EA754D" w:rsidRPr="004C7398">
        <w:t xml:space="preserve"> annexure </w:t>
      </w:r>
      <w:r w:rsidR="002E48E6">
        <w:rPr>
          <w:b/>
          <w:bCs/>
        </w:rPr>
        <w:t>MMM</w:t>
      </w:r>
      <w:r w:rsidR="00386C24">
        <w:rPr>
          <w:b/>
          <w:bCs/>
        </w:rPr>
        <w:t>8</w:t>
      </w:r>
      <w:r w:rsidR="00EA754D">
        <w:rPr>
          <w:b/>
          <w:bCs/>
        </w:rPr>
        <w:t>.</w:t>
      </w:r>
    </w:p>
    <w:p w14:paraId="7436118A" w14:textId="27920852" w:rsidR="00C645B8" w:rsidRDefault="00C645B8">
      <w:pPr>
        <w:pStyle w:val="1"/>
      </w:pPr>
      <w:r w:rsidRPr="004C7398">
        <w:t>On 18 December 2020, MTN once again wrote a letter to ICASA expressing its concerns regarding the</w:t>
      </w:r>
      <w:r w:rsidR="003B0FF2">
        <w:t xml:space="preserve"> Operator Cate</w:t>
      </w:r>
      <w:r w:rsidR="00BD6D62">
        <w:t>gorisation and the</w:t>
      </w:r>
      <w:r w:rsidRPr="004C7398">
        <w:t xml:space="preserve"> Opt-In Scheme and demanding that ICASA should excise </w:t>
      </w:r>
      <w:r w:rsidR="00BD6D62">
        <w:t>them</w:t>
      </w:r>
      <w:r w:rsidRPr="004C7398">
        <w:t xml:space="preserve"> from the auction process. </w:t>
      </w:r>
      <w:r w:rsidR="00E21C12">
        <w:t xml:space="preserve"> </w:t>
      </w:r>
      <w:r w:rsidRPr="004C7398">
        <w:t xml:space="preserve">A copy of the letter is attached hereto marked annexure </w:t>
      </w:r>
      <w:r w:rsidR="002E48E6">
        <w:rPr>
          <w:b/>
          <w:bCs/>
        </w:rPr>
        <w:t>MMM</w:t>
      </w:r>
      <w:r w:rsidR="00386C24">
        <w:rPr>
          <w:b/>
          <w:bCs/>
        </w:rPr>
        <w:t>9</w:t>
      </w:r>
      <w:r w:rsidRPr="004C7398">
        <w:t>.</w:t>
      </w:r>
    </w:p>
    <w:p w14:paraId="594BCD3F" w14:textId="5DF1029E" w:rsidR="00C645B8" w:rsidRPr="004C7398" w:rsidRDefault="00C645B8">
      <w:pPr>
        <w:pStyle w:val="1"/>
      </w:pPr>
      <w:r w:rsidRPr="004C7398">
        <w:t xml:space="preserve">On 23 December 2020, ICASA responded to the MTN letter of 18 December 2020 through its attorneys of record, Kunene </w:t>
      </w:r>
      <w:proofErr w:type="spellStart"/>
      <w:r w:rsidRPr="004C7398">
        <w:t>Ramapala</w:t>
      </w:r>
      <w:proofErr w:type="spellEnd"/>
      <w:r w:rsidRPr="004C7398">
        <w:t xml:space="preserve">. </w:t>
      </w:r>
      <w:r w:rsidR="00336BAD">
        <w:t xml:space="preserve"> </w:t>
      </w:r>
      <w:r w:rsidRPr="004C7398">
        <w:t xml:space="preserve">A copy of the letter is attached hereto marked annexure </w:t>
      </w:r>
      <w:r w:rsidR="002E48E6">
        <w:rPr>
          <w:b/>
          <w:bCs/>
        </w:rPr>
        <w:t>MMM</w:t>
      </w:r>
      <w:r w:rsidR="00386C24">
        <w:rPr>
          <w:b/>
          <w:bCs/>
        </w:rPr>
        <w:t>10</w:t>
      </w:r>
      <w:r w:rsidR="00455CE9">
        <w:t>.</w:t>
      </w:r>
      <w:r w:rsidRPr="004C7398">
        <w:t xml:space="preserve"> </w:t>
      </w:r>
      <w:r w:rsidR="001F2F7D">
        <w:t xml:space="preserve"> ICASA provided no new information or explanation as to the rationale and operation of the Opt-In Scheme and </w:t>
      </w:r>
      <w:r w:rsidR="00CA3738">
        <w:t xml:space="preserve">the </w:t>
      </w:r>
      <w:r w:rsidR="001F2F7D">
        <w:t>Operator Categorisation</w:t>
      </w:r>
      <w:r w:rsidRPr="004C7398">
        <w:t xml:space="preserve">. </w:t>
      </w:r>
    </w:p>
    <w:p w14:paraId="4C0DDC4D" w14:textId="01FE4C1B" w:rsidR="00C645B8" w:rsidRPr="004C7398" w:rsidRDefault="00C645B8">
      <w:pPr>
        <w:pStyle w:val="1"/>
      </w:pPr>
      <w:r w:rsidRPr="004C7398">
        <w:t xml:space="preserve">On 30 December 2020, MTN wrote another letter to ICASA repeating its concern regarding the confusion surrounding the 3500MHz spectrum band. </w:t>
      </w:r>
      <w:r w:rsidR="00D04253">
        <w:t xml:space="preserve"> </w:t>
      </w:r>
      <w:r w:rsidRPr="004C7398">
        <w:t xml:space="preserve">This confusion was especially </w:t>
      </w:r>
      <w:r w:rsidR="00757D8E">
        <w:t xml:space="preserve">important </w:t>
      </w:r>
      <w:r w:rsidRPr="004C7398">
        <w:t>in the context of the</w:t>
      </w:r>
      <w:r w:rsidR="00DD440E">
        <w:t xml:space="preserve"> Operator Categorisation and</w:t>
      </w:r>
      <w:r w:rsidRPr="004C7398">
        <w:t xml:space="preserve"> </w:t>
      </w:r>
      <w:r w:rsidR="00CA3738">
        <w:t xml:space="preserve">the </w:t>
      </w:r>
      <w:r w:rsidRPr="004C7398">
        <w:t xml:space="preserve">Opt-In Scheme in </w:t>
      </w:r>
      <w:r w:rsidR="00CA3738">
        <w:t>their</w:t>
      </w:r>
      <w:r w:rsidR="00CA3738" w:rsidRPr="004C7398">
        <w:t xml:space="preserve"> </w:t>
      </w:r>
      <w:r w:rsidRPr="004C7398">
        <w:t xml:space="preserve">current form. </w:t>
      </w:r>
      <w:r w:rsidR="00D04253">
        <w:t xml:space="preserve"> </w:t>
      </w:r>
      <w:r w:rsidRPr="004C7398">
        <w:t xml:space="preserve">A copy of the letter is attached hereto marked annexure </w:t>
      </w:r>
      <w:r w:rsidR="002E48E6">
        <w:rPr>
          <w:b/>
          <w:bCs/>
        </w:rPr>
        <w:t>MMM</w:t>
      </w:r>
      <w:r w:rsidR="00386C24">
        <w:rPr>
          <w:b/>
          <w:bCs/>
        </w:rPr>
        <w:t>11</w:t>
      </w:r>
      <w:r w:rsidR="00455CE9">
        <w:t>.</w:t>
      </w:r>
    </w:p>
    <w:p w14:paraId="4AC95DD3" w14:textId="13BA6015" w:rsidR="00C645B8" w:rsidRPr="004C7398" w:rsidRDefault="00C645B8">
      <w:pPr>
        <w:pStyle w:val="1"/>
      </w:pPr>
      <w:r w:rsidRPr="004C7398">
        <w:lastRenderedPageBreak/>
        <w:t xml:space="preserve">On 5 January 2021, ICASA’s attorneys delivered a response to MTN’s letter of 30 December 2020. </w:t>
      </w:r>
      <w:r w:rsidR="008B1051">
        <w:t xml:space="preserve"> </w:t>
      </w:r>
      <w:r w:rsidRPr="004C7398">
        <w:t xml:space="preserve">A copy of the letter is attached hereto marked annexure </w:t>
      </w:r>
      <w:r w:rsidR="002E48E6">
        <w:rPr>
          <w:b/>
          <w:bCs/>
        </w:rPr>
        <w:t>MMM</w:t>
      </w:r>
      <w:r w:rsidR="00386C24">
        <w:rPr>
          <w:b/>
          <w:bCs/>
        </w:rPr>
        <w:t>12</w:t>
      </w:r>
      <w:r w:rsidR="00455CE9">
        <w:t>.</w:t>
      </w:r>
      <w:r w:rsidRPr="004C7398">
        <w:rPr>
          <w:b/>
          <w:bCs/>
        </w:rPr>
        <w:t xml:space="preserve"> </w:t>
      </w:r>
      <w:r w:rsidR="008B1051">
        <w:rPr>
          <w:b/>
          <w:bCs/>
        </w:rPr>
        <w:t xml:space="preserve"> </w:t>
      </w:r>
      <w:r w:rsidRPr="004C7398">
        <w:t xml:space="preserve">The letter </w:t>
      </w:r>
      <w:r w:rsidR="004663BF">
        <w:t xml:space="preserve">provides </w:t>
      </w:r>
      <w:r w:rsidR="00463B13">
        <w:t>that</w:t>
      </w:r>
      <w:r w:rsidRPr="004C7398">
        <w:t xml:space="preserve"> “all the assignments of all IMT spectrum bands are to be considered in determining those potential bidders who may qualify for the Opt-In round</w:t>
      </w:r>
      <w:r w:rsidR="00463B13">
        <w:t>”.</w:t>
      </w:r>
      <w:r w:rsidRPr="004C7398">
        <w:t xml:space="preserve"> </w:t>
      </w:r>
    </w:p>
    <w:p w14:paraId="0B2EF3B7" w14:textId="1C1C75AE" w:rsidR="00BA07D0" w:rsidRDefault="00C645B8">
      <w:pPr>
        <w:pStyle w:val="1"/>
      </w:pPr>
      <w:r w:rsidRPr="004C7398">
        <w:t xml:space="preserve">MTN’s concerns regarding the Opt-In Scheme </w:t>
      </w:r>
      <w:r w:rsidR="0090465D">
        <w:t>and Operator Categorisation r</w:t>
      </w:r>
      <w:r w:rsidRPr="004C7398">
        <w:t>emain</w:t>
      </w:r>
      <w:r w:rsidR="00CA3738">
        <w:t xml:space="preserve">ed entirely </w:t>
      </w:r>
      <w:r w:rsidRPr="004C7398">
        <w:t>unanswered</w:t>
      </w:r>
      <w:r w:rsidR="0090465D">
        <w:t xml:space="preserve">.  As I </w:t>
      </w:r>
      <w:r w:rsidR="00CA3738">
        <w:t xml:space="preserve">shall </w:t>
      </w:r>
      <w:r w:rsidR="0090465D">
        <w:t>explain below, ICASA suggest</w:t>
      </w:r>
      <w:r w:rsidR="008E79D2">
        <w:t>ed</w:t>
      </w:r>
      <w:r w:rsidR="0090465D">
        <w:t xml:space="preserve"> that bidders should refer to the ITA, and that to the extent that clarification is necessary, it </w:t>
      </w:r>
      <w:r w:rsidR="00CA3738">
        <w:t xml:space="preserve">would </w:t>
      </w:r>
      <w:r w:rsidR="0090465D">
        <w:t xml:space="preserve">clarify these issues before the auction rounds in the ITA process.  </w:t>
      </w:r>
    </w:p>
    <w:p w14:paraId="5B250949" w14:textId="7004C8EA" w:rsidR="00CA3738" w:rsidRPr="00E344B9" w:rsidRDefault="00BA07D0">
      <w:pPr>
        <w:pStyle w:val="1"/>
      </w:pPr>
      <w:r>
        <w:t xml:space="preserve">MTN </w:t>
      </w:r>
      <w:r w:rsidR="000B643B">
        <w:t xml:space="preserve">lodged </w:t>
      </w:r>
      <w:r>
        <w:t>its bid in the ITA Auction</w:t>
      </w:r>
      <w:r w:rsidR="008E79D2">
        <w:t xml:space="preserve"> on 28 December 2020</w:t>
      </w:r>
      <w:r>
        <w:t xml:space="preserve"> </w:t>
      </w:r>
      <w:r w:rsidR="00C9107F">
        <w:t>amidst</w:t>
      </w:r>
      <w:r>
        <w:t xml:space="preserve"> this </w:t>
      </w:r>
      <w:r w:rsidR="00C9107F">
        <w:t xml:space="preserve">uncertainty and </w:t>
      </w:r>
      <w:r>
        <w:t xml:space="preserve">confusion.  </w:t>
      </w:r>
      <w:r w:rsidR="00CA3738">
        <w:t xml:space="preserve">MTN did so </w:t>
      </w:r>
      <w:r>
        <w:t>under a strict reservation of rights</w:t>
      </w:r>
      <w:r w:rsidR="00C9107F">
        <w:t>, and in order to avoid derailing the ITA process</w:t>
      </w:r>
      <w:r>
        <w:t xml:space="preserve">.  </w:t>
      </w:r>
      <w:r w:rsidR="008E79D2">
        <w:t>Specifically</w:t>
      </w:r>
      <w:r w:rsidR="00B8777E">
        <w:t xml:space="preserve">, MTN stated in its letter of </w:t>
      </w:r>
      <w:r w:rsidR="00A06B93">
        <w:t xml:space="preserve">28 December 2020 that </w:t>
      </w:r>
      <w:r w:rsidR="00A51A2F">
        <w:t>"</w:t>
      </w:r>
      <w:r w:rsidR="00A06B93">
        <w:t xml:space="preserve">it reserves its rights </w:t>
      </w:r>
      <w:r w:rsidR="00007C95">
        <w:t xml:space="preserve">in relation to those aspects of the ITA that are in </w:t>
      </w:r>
      <w:r w:rsidR="00DA6646">
        <w:t xml:space="preserve">our view legally flawed, including, </w:t>
      </w:r>
      <w:r w:rsidR="00837A93">
        <w:t>inter ali</w:t>
      </w:r>
      <w:r w:rsidR="00936B45">
        <w:t>a, the pr</w:t>
      </w:r>
      <w:r w:rsidR="00DB27DF">
        <w:t xml:space="preserve">ovisions </w:t>
      </w:r>
      <w:r w:rsidR="006C0B5D">
        <w:t>relating to the classification of Tier 1 and Tier 2</w:t>
      </w:r>
      <w:r w:rsidR="00991933">
        <w:t xml:space="preserve"> operators as contained in the definition clauses</w:t>
      </w:r>
      <w:r w:rsidR="005A4829">
        <w:t xml:space="preserve"> as well as the inclusion of an Opt-in round of bidding as contained in para</w:t>
      </w:r>
      <w:r w:rsidR="00A51A2F">
        <w:t>graph 6 of the ITA".</w:t>
      </w:r>
      <w:r w:rsidR="00A42682">
        <w:t xml:space="preserve">  </w:t>
      </w:r>
      <w:r w:rsidR="00A42682" w:rsidRPr="004C7398">
        <w:t xml:space="preserve">A copy of the letter is attached hereto marked annexure </w:t>
      </w:r>
      <w:r w:rsidR="00A42682">
        <w:rPr>
          <w:b/>
          <w:bCs/>
        </w:rPr>
        <w:t>MMM</w:t>
      </w:r>
      <w:r w:rsidR="00E827F8">
        <w:rPr>
          <w:b/>
          <w:bCs/>
        </w:rPr>
        <w:t>13</w:t>
      </w:r>
      <w:r w:rsidR="00455CE9">
        <w:t>.</w:t>
      </w:r>
      <w:r w:rsidR="00A42682" w:rsidRPr="004C7398">
        <w:rPr>
          <w:b/>
          <w:bCs/>
        </w:rPr>
        <w:t xml:space="preserve"> </w:t>
      </w:r>
      <w:r w:rsidR="00A42682">
        <w:rPr>
          <w:b/>
          <w:bCs/>
        </w:rPr>
        <w:t xml:space="preserve"> </w:t>
      </w:r>
    </w:p>
    <w:p w14:paraId="3EFE9EFD" w14:textId="600342C3" w:rsidR="00C645B8" w:rsidRDefault="00BA07D0">
      <w:pPr>
        <w:pStyle w:val="1"/>
      </w:pPr>
      <w:r>
        <w:t>MTN</w:t>
      </w:r>
      <w:r w:rsidR="00CA3738">
        <w:t xml:space="preserve"> cannot </w:t>
      </w:r>
      <w:r>
        <w:t xml:space="preserve">allow the ITA process to proceed to the auction round while </w:t>
      </w:r>
      <w:r w:rsidR="003D23FB">
        <w:t>the</w:t>
      </w:r>
      <w:r w:rsidR="00CA3738">
        <w:t xml:space="preserve"> </w:t>
      </w:r>
      <w:r>
        <w:t xml:space="preserve">uncertainty and potential risks remain.  </w:t>
      </w:r>
      <w:r w:rsidR="00C9107F">
        <w:t xml:space="preserve">Without clarity on the Opt-In Scheme and </w:t>
      </w:r>
      <w:r w:rsidR="00CA3738">
        <w:t xml:space="preserve">the </w:t>
      </w:r>
      <w:r w:rsidR="00C9107F">
        <w:t xml:space="preserve">Operator Categorisation, MTN will be prejudiced in its preparation </w:t>
      </w:r>
      <w:r w:rsidR="003D23FB">
        <w:t xml:space="preserve">for </w:t>
      </w:r>
      <w:r w:rsidR="00C9107F">
        <w:t xml:space="preserve">and participation in the ITA Auction.  </w:t>
      </w:r>
      <w:r>
        <w:t xml:space="preserve">MTN accordingly </w:t>
      </w:r>
      <w:r w:rsidR="00C645B8" w:rsidRPr="004C7398">
        <w:t>approach</w:t>
      </w:r>
      <w:r>
        <w:t>es</w:t>
      </w:r>
      <w:r w:rsidR="00C645B8" w:rsidRPr="004C7398">
        <w:t xml:space="preserve"> this Honourable Court</w:t>
      </w:r>
      <w:r w:rsidR="00CA3738">
        <w:t xml:space="preserve"> for relief.</w:t>
      </w:r>
    </w:p>
    <w:p w14:paraId="57C0808F" w14:textId="78251B10" w:rsidR="00C645B8" w:rsidRPr="00C645B8" w:rsidRDefault="00C645B8">
      <w:pPr>
        <w:pStyle w:val="Heading1"/>
      </w:pPr>
      <w:bookmarkStart w:id="5" w:name="_Toc62222140"/>
      <w:r>
        <w:lastRenderedPageBreak/>
        <w:t>THE SPECTRUM AUCTION</w:t>
      </w:r>
      <w:r w:rsidR="00E62348">
        <w:t xml:space="preserve"> ENVISAGED IN THE ITA</w:t>
      </w:r>
      <w:bookmarkEnd w:id="5"/>
    </w:p>
    <w:p w14:paraId="722D8AD5" w14:textId="2EECA224" w:rsidR="00A0005D" w:rsidRDefault="00A0005D" w:rsidP="006E2522">
      <w:pPr>
        <w:pStyle w:val="1"/>
      </w:pPr>
      <w:r>
        <w:t xml:space="preserve">The ITA provides that the award process will consist of three stages: </w:t>
      </w:r>
      <w:r w:rsidRPr="00C5409E">
        <w:t>the qualification sta</w:t>
      </w:r>
      <w:r>
        <w:t>g</w:t>
      </w:r>
      <w:r w:rsidRPr="00C5409E">
        <w:t xml:space="preserve">e where </w:t>
      </w:r>
      <w:r>
        <w:t>prospective bidders</w:t>
      </w:r>
      <w:r w:rsidRPr="00C5409E">
        <w:t xml:space="preserve"> are assessed to ensure they meet the </w:t>
      </w:r>
      <w:r>
        <w:t xml:space="preserve">threshold </w:t>
      </w:r>
      <w:r w:rsidRPr="00C5409E">
        <w:t>requirements set out in the ITA; the auction stage which consists of multiple rounds in which bidders have an opportunity to place bids on the available</w:t>
      </w:r>
      <w:r>
        <w:t xml:space="preserve"> spectrum</w:t>
      </w:r>
      <w:r w:rsidRPr="00C5409E">
        <w:t xml:space="preserve"> lots;</w:t>
      </w:r>
      <w:r>
        <w:t xml:space="preserve"> and </w:t>
      </w:r>
      <w:r w:rsidRPr="00C5409E">
        <w:t xml:space="preserve">a final licensing stage.  </w:t>
      </w:r>
    </w:p>
    <w:p w14:paraId="4714FFE4" w14:textId="029CAE33" w:rsidR="00484FE4" w:rsidRDefault="00484FE4" w:rsidP="001951A1">
      <w:pPr>
        <w:pStyle w:val="1"/>
      </w:pPr>
      <w:r>
        <w:t>The format selected for the Auction is the Simultaneous Multiple Round Ascending Auction.  ICASA states that it is of the view that this “</w:t>
      </w:r>
      <w:r w:rsidRPr="00C65BF4">
        <w:rPr>
          <w:i/>
        </w:rPr>
        <w:t>is the most efficient auction format in order for the true value of the spectrum to be discovered and achieve the set objectives of the licensing process</w:t>
      </w:r>
      <w:r>
        <w:t xml:space="preserve">.” (Reasons Document, </w:t>
      </w:r>
      <w:r w:rsidR="00624839">
        <w:t>p59</w:t>
      </w:r>
      <w:r>
        <w:t>)</w:t>
      </w:r>
    </w:p>
    <w:p w14:paraId="13E7B142" w14:textId="4D178BB5" w:rsidR="00484FE4" w:rsidRDefault="00C65BF4" w:rsidP="00DD38E2">
      <w:pPr>
        <w:pStyle w:val="1"/>
      </w:pPr>
      <w:r>
        <w:t xml:space="preserve">I do not </w:t>
      </w:r>
      <w:r w:rsidR="006F50CD">
        <w:t xml:space="preserve">deal with </w:t>
      </w:r>
      <w:r>
        <w:t xml:space="preserve">the entire ITA process but </w:t>
      </w:r>
      <w:r w:rsidR="00710E11">
        <w:t xml:space="preserve">rather </w:t>
      </w:r>
      <w:r>
        <w:t xml:space="preserve">focus on the aspects of the ITA that are relevant to MTN’s application. </w:t>
      </w:r>
      <w:r w:rsidR="00357AE8">
        <w:t xml:space="preserve"> This should not </w:t>
      </w:r>
      <w:proofErr w:type="gramStart"/>
      <w:r w:rsidR="00357AE8">
        <w:t>be seen as</w:t>
      </w:r>
      <w:proofErr w:type="gramEnd"/>
      <w:r w:rsidR="00357AE8">
        <w:t xml:space="preserve"> a waiver of MTN’s right to </w:t>
      </w:r>
      <w:r w:rsidR="00D5619C">
        <w:t>object to</w:t>
      </w:r>
      <w:r w:rsidR="00656395">
        <w:t xml:space="preserve"> an</w:t>
      </w:r>
      <w:r w:rsidR="00357AE8">
        <w:t xml:space="preserve">y other aspect of the ITA </w:t>
      </w:r>
      <w:r w:rsidR="003D23FB">
        <w:t xml:space="preserve">at the appropriate time and </w:t>
      </w:r>
      <w:r w:rsidR="006F50CD">
        <w:t xml:space="preserve">in the appropriate </w:t>
      </w:r>
      <w:r w:rsidR="00357AE8">
        <w:t>forum.</w:t>
      </w:r>
    </w:p>
    <w:p w14:paraId="0BF63D44" w14:textId="3AFC27E8" w:rsidR="001B48B5" w:rsidRDefault="006262E7">
      <w:pPr>
        <w:pStyle w:val="Heading2"/>
      </w:pPr>
      <w:bookmarkStart w:id="6" w:name="_Toc62222141"/>
      <w:r>
        <w:t>Current spectrum holdings and spectrum available for auction</w:t>
      </w:r>
      <w:bookmarkEnd w:id="6"/>
    </w:p>
    <w:p w14:paraId="2CCE2ECB" w14:textId="4B934866" w:rsidR="002069E4" w:rsidRDefault="00DB6D7D" w:rsidP="006E2522">
      <w:pPr>
        <w:pStyle w:val="1"/>
      </w:pPr>
      <w:r>
        <w:t xml:space="preserve">There is currently 609MHz </w:t>
      </w:r>
      <w:r w:rsidR="006371AC">
        <w:t xml:space="preserve">of </w:t>
      </w:r>
      <w:r>
        <w:t xml:space="preserve">spectrum assigned to the six operators in South Africa.  </w:t>
      </w:r>
      <w:r w:rsidR="002069E4">
        <w:t>ICASA has decided to make a</w:t>
      </w:r>
      <w:r>
        <w:t>n additional</w:t>
      </w:r>
      <w:r w:rsidR="002069E4">
        <w:t xml:space="preserve"> 326 MHz across four bands available for auction</w:t>
      </w:r>
      <w:r w:rsidR="00EF72B8">
        <w:t xml:space="preserve"> through the ITA process</w:t>
      </w:r>
      <w:r w:rsidR="002069E4">
        <w:t>.  The following spectrum is available for assignment in the ITA process:</w:t>
      </w:r>
    </w:p>
    <w:p w14:paraId="7CE5F896" w14:textId="2BDDEB03" w:rsidR="002069E4" w:rsidRDefault="002069E4" w:rsidP="001951A1">
      <w:pPr>
        <w:pStyle w:val="1"/>
        <w:numPr>
          <w:ilvl w:val="0"/>
          <w:numId w:val="38"/>
        </w:numPr>
      </w:pPr>
      <w:r>
        <w:t>40MHz in the 700MHz band</w:t>
      </w:r>
      <w:r w:rsidR="00C4487E">
        <w:t>;</w:t>
      </w:r>
    </w:p>
    <w:p w14:paraId="1D7E8057" w14:textId="3E0D37C6" w:rsidR="002069E4" w:rsidRDefault="002069E4" w:rsidP="00DD38E2">
      <w:pPr>
        <w:pStyle w:val="1"/>
        <w:numPr>
          <w:ilvl w:val="0"/>
          <w:numId w:val="38"/>
        </w:numPr>
      </w:pPr>
      <w:r>
        <w:t xml:space="preserve">60MHz in the 800MHz band; </w:t>
      </w:r>
    </w:p>
    <w:p w14:paraId="190E482C" w14:textId="5A9120F8" w:rsidR="002069E4" w:rsidRDefault="002069E4">
      <w:pPr>
        <w:pStyle w:val="1"/>
        <w:numPr>
          <w:ilvl w:val="0"/>
          <w:numId w:val="38"/>
        </w:numPr>
      </w:pPr>
      <w:r>
        <w:lastRenderedPageBreak/>
        <w:t xml:space="preserve">140MHz in the 2600MHz band; </w:t>
      </w:r>
      <w:r w:rsidR="006253E0">
        <w:t>and</w:t>
      </w:r>
    </w:p>
    <w:p w14:paraId="53F38D29" w14:textId="391C57BC" w:rsidR="002069E4" w:rsidRDefault="002069E4">
      <w:pPr>
        <w:pStyle w:val="1"/>
        <w:numPr>
          <w:ilvl w:val="0"/>
          <w:numId w:val="38"/>
        </w:numPr>
      </w:pPr>
      <w:r>
        <w:t xml:space="preserve">86MHz in the 3500MHz band. </w:t>
      </w:r>
    </w:p>
    <w:p w14:paraId="22E9FB18" w14:textId="05394E37" w:rsidR="000F2526" w:rsidRDefault="000F2526">
      <w:pPr>
        <w:pStyle w:val="1"/>
      </w:pPr>
      <w:r>
        <w:t xml:space="preserve">In its Reasons Document, ICASA provided the </w:t>
      </w:r>
      <w:r w:rsidR="006F50CD">
        <w:t xml:space="preserve">following </w:t>
      </w:r>
      <w:r>
        <w:t xml:space="preserve">table setting out the current spectrum holding of each operator, </w:t>
      </w:r>
      <w:r w:rsidR="00656395">
        <w:t xml:space="preserve">alongside </w:t>
      </w:r>
      <w:r>
        <w:t xml:space="preserve">the new spectrum </w:t>
      </w:r>
      <w:r w:rsidR="003D23FB">
        <w:t xml:space="preserve">that is </w:t>
      </w:r>
      <w:r>
        <w:t xml:space="preserve">available for auction in the </w:t>
      </w:r>
      <w:r w:rsidR="006262E7">
        <w:t>I</w:t>
      </w:r>
      <w:r>
        <w:t xml:space="preserve">TA process. </w:t>
      </w:r>
      <w:r w:rsidR="00C4487E">
        <w:t xml:space="preserve"> The table confirms the current spectrum allocation in the 3500MHz band and records that only an additional 86MHz </w:t>
      </w:r>
      <w:r w:rsidR="007D3236">
        <w:t xml:space="preserve">in the 3500MHz band </w:t>
      </w:r>
      <w:r w:rsidR="00C4487E">
        <w:t xml:space="preserve">will be available for assignment at the ITA auction. </w:t>
      </w:r>
    </w:p>
    <w:p w14:paraId="4988972F" w14:textId="1C0FC971" w:rsidR="000F2526" w:rsidRPr="000F2526" w:rsidRDefault="000F2526" w:rsidP="0099368B">
      <w:pPr>
        <w:pStyle w:val="FirstlevelNumbered"/>
        <w:numPr>
          <w:ilvl w:val="0"/>
          <w:numId w:val="0"/>
        </w:numPr>
        <w:ind w:left="567" w:hanging="567"/>
      </w:pPr>
      <w:r>
        <w:rPr>
          <w:noProof/>
        </w:rPr>
        <w:drawing>
          <wp:inline distT="0" distB="0" distL="0" distR="0" wp14:anchorId="5D12D4DF" wp14:editId="0814ABCF">
            <wp:extent cx="5977255" cy="3874135"/>
            <wp:effectExtent l="0" t="0" r="4445"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77255" cy="3874135"/>
                    </a:xfrm>
                    <a:prstGeom prst="rect">
                      <a:avLst/>
                    </a:prstGeom>
                  </pic:spPr>
                </pic:pic>
              </a:graphicData>
            </a:graphic>
          </wp:inline>
        </w:drawing>
      </w:r>
    </w:p>
    <w:p w14:paraId="44B8534D" w14:textId="5D134022" w:rsidR="000B1716" w:rsidRDefault="000B1716" w:rsidP="006E2522">
      <w:pPr>
        <w:pStyle w:val="1"/>
      </w:pPr>
      <w:r>
        <w:t xml:space="preserve">The spectrum available for auction has been divided into </w:t>
      </w:r>
      <w:proofErr w:type="gramStart"/>
      <w:r>
        <w:t>a number of</w:t>
      </w:r>
      <w:proofErr w:type="gramEnd"/>
      <w:r>
        <w:t xml:space="preserve"> lots.  </w:t>
      </w:r>
      <w:r w:rsidR="00656395">
        <w:t>Lots are described</w:t>
      </w:r>
      <w:r w:rsidR="00154520">
        <w:t xml:space="preserve"> in the </w:t>
      </w:r>
      <w:r w:rsidR="007D3236">
        <w:t>Definitions</w:t>
      </w:r>
      <w:r w:rsidR="00154520">
        <w:t xml:space="preserve"> section </w:t>
      </w:r>
      <w:r w:rsidR="007D3236">
        <w:t>of</w:t>
      </w:r>
      <w:r w:rsidR="00154520">
        <w:t xml:space="preserve"> the ITA</w:t>
      </w:r>
      <w:r w:rsidR="00656395">
        <w:t xml:space="preserve"> as </w:t>
      </w:r>
      <w:r>
        <w:t>“</w:t>
      </w:r>
      <w:r w:rsidRPr="00140C60">
        <w:rPr>
          <w:i/>
          <w:iCs w:val="0"/>
        </w:rPr>
        <w:t>pre-packaged amounts of spectrum available for award</w:t>
      </w:r>
      <w:r>
        <w:t xml:space="preserve">.” </w:t>
      </w:r>
      <w:r w:rsidR="00C4487E">
        <w:t xml:space="preserve">The 86MHz of spectrum in the 3500MHz band has been </w:t>
      </w:r>
      <w:r w:rsidR="00154520">
        <w:t>packaged</w:t>
      </w:r>
      <w:r w:rsidR="00C4487E">
        <w:t xml:space="preserve"> into ten Lots (numbers 25 to 34).  There </w:t>
      </w:r>
      <w:r w:rsidR="00C4487E">
        <w:lastRenderedPageBreak/>
        <w:t>are eight Lots with 10MHz each, one lot of 2MHz and one lot of 4MHz.</w:t>
      </w:r>
      <w:r w:rsidR="00154520">
        <w:t xml:space="preserve"> (ITA, Definitions and paragraph 5.4).  </w:t>
      </w:r>
    </w:p>
    <w:p w14:paraId="016527E4" w14:textId="33C308D0" w:rsidR="00794F29" w:rsidRDefault="00794F29">
      <w:pPr>
        <w:pStyle w:val="Heading2"/>
      </w:pPr>
      <w:bookmarkStart w:id="7" w:name="_Toc62222142"/>
      <w:r>
        <w:t>Spectrum caps</w:t>
      </w:r>
      <w:r w:rsidR="002069E4">
        <w:t xml:space="preserve"> </w:t>
      </w:r>
      <w:r>
        <w:t>and spectrum set-asides</w:t>
      </w:r>
      <w:bookmarkEnd w:id="7"/>
    </w:p>
    <w:p w14:paraId="1EE26D1E" w14:textId="2CFFB729" w:rsidR="00F50D2A" w:rsidRDefault="00656395" w:rsidP="006E2522">
      <w:pPr>
        <w:pStyle w:val="1"/>
      </w:pPr>
      <w:r>
        <w:t>Regulators sometimes take the view that s</w:t>
      </w:r>
      <w:r w:rsidR="00F50D2A" w:rsidRPr="00AC098B">
        <w:t xml:space="preserve">pectrum holdings </w:t>
      </w:r>
      <w:r w:rsidR="006F50CD">
        <w:t>may</w:t>
      </w:r>
      <w:r w:rsidR="006F50CD" w:rsidRPr="00AC098B">
        <w:t xml:space="preserve"> </w:t>
      </w:r>
      <w:r w:rsidR="00F50D2A" w:rsidRPr="00AC098B">
        <w:t>have a</w:t>
      </w:r>
      <w:r w:rsidR="006F50CD">
        <w:t xml:space="preserve">n </w:t>
      </w:r>
      <w:r w:rsidR="00F50D2A" w:rsidRPr="00AC098B">
        <w:t xml:space="preserve">impact on the competitive dynamics of the mobile </w:t>
      </w:r>
      <w:proofErr w:type="gramStart"/>
      <w:r w:rsidR="00F50D2A" w:rsidRPr="00AC098B">
        <w:t>market</w:t>
      </w:r>
      <w:r>
        <w:t>, and</w:t>
      </w:r>
      <w:proofErr w:type="gramEnd"/>
      <w:r>
        <w:t xml:space="preserve"> </w:t>
      </w:r>
      <w:r w:rsidR="00D43110">
        <w:t xml:space="preserve">set about </w:t>
      </w:r>
      <w:r w:rsidR="00F50D2A" w:rsidRPr="00AC098B">
        <w:t>design</w:t>
      </w:r>
      <w:r w:rsidR="00D43110">
        <w:t>ing</w:t>
      </w:r>
      <w:r w:rsidR="00F50D2A" w:rsidRPr="00AC098B">
        <w:t xml:space="preserve"> spectrum auctions </w:t>
      </w:r>
      <w:r w:rsidR="003D23FB">
        <w:t xml:space="preserve">in </w:t>
      </w:r>
      <w:r w:rsidR="00D43110">
        <w:t xml:space="preserve">an effort </w:t>
      </w:r>
      <w:r w:rsidR="00F50D2A" w:rsidRPr="00AC098B">
        <w:t xml:space="preserve">to prevent anti-competitive outcomes. </w:t>
      </w:r>
      <w:r w:rsidR="006F50CD">
        <w:t xml:space="preserve"> </w:t>
      </w:r>
      <w:r w:rsidR="00C9107F">
        <w:t xml:space="preserve">The most common methods to address these concerns </w:t>
      </w:r>
      <w:r w:rsidR="003D23FB">
        <w:t xml:space="preserve">involves the use of </w:t>
      </w:r>
      <w:r w:rsidR="00F50D2A" w:rsidRPr="00AC098B">
        <w:t xml:space="preserve">spectrum caps </w:t>
      </w:r>
      <w:r w:rsidR="00710E11">
        <w:t>and</w:t>
      </w:r>
      <w:r w:rsidR="00F50D2A" w:rsidRPr="00AC098B">
        <w:t xml:space="preserve"> spectrum set-asides</w:t>
      </w:r>
      <w:r w:rsidR="00F50D2A">
        <w:t>:</w:t>
      </w:r>
    </w:p>
    <w:p w14:paraId="6F80EB97" w14:textId="0061063F" w:rsidR="00F50D2A" w:rsidRDefault="00F50D2A" w:rsidP="006E2522">
      <w:pPr>
        <w:pStyle w:val="2"/>
      </w:pPr>
      <w:r>
        <w:t xml:space="preserve">A </w:t>
      </w:r>
      <w:r w:rsidRPr="00E344B9">
        <w:rPr>
          <w:b/>
          <w:bCs/>
        </w:rPr>
        <w:t>spectrum cap</w:t>
      </w:r>
      <w:r w:rsidR="002001B7" w:rsidRPr="00E344B9">
        <w:rPr>
          <w:b/>
          <w:bCs/>
        </w:rPr>
        <w:t xml:space="preserve"> is</w:t>
      </w:r>
      <w:r w:rsidR="002001B7">
        <w:t xml:space="preserve"> a limit placed on the amount of spectrum a bidder can bid for in an action.  Spectrum caps</w:t>
      </w:r>
      <w:r>
        <w:t xml:space="preserve"> ensure that </w:t>
      </w:r>
      <w:r w:rsidRPr="00AC098B">
        <w:t xml:space="preserve">no single operator can </w:t>
      </w:r>
      <w:r w:rsidR="00710E11">
        <w:t xml:space="preserve">have excessive </w:t>
      </w:r>
      <w:r w:rsidRPr="00AC098B">
        <w:t>amounts of spectrum po</w:t>
      </w:r>
      <w:r w:rsidR="00710E11">
        <w:t>st-</w:t>
      </w:r>
      <w:r w:rsidRPr="00AC098B">
        <w:t>auction</w:t>
      </w:r>
      <w:r>
        <w:t>.</w:t>
      </w:r>
    </w:p>
    <w:p w14:paraId="3FDAFBF0" w14:textId="5DCBD1DF" w:rsidR="00F50D2A" w:rsidRPr="00710E11" w:rsidRDefault="00F50D2A" w:rsidP="001951A1">
      <w:pPr>
        <w:pStyle w:val="2"/>
      </w:pPr>
      <w:r w:rsidRPr="00710E11">
        <w:t xml:space="preserve">A </w:t>
      </w:r>
      <w:r w:rsidRPr="00E344B9">
        <w:rPr>
          <w:b/>
          <w:bCs/>
        </w:rPr>
        <w:t>spectrum set-aside</w:t>
      </w:r>
      <w:r w:rsidRPr="00710E11">
        <w:t xml:space="preserve"> reserves spectrum for a specific class of operators</w:t>
      </w:r>
      <w:r w:rsidR="00D5619C" w:rsidRPr="00710E11">
        <w:t xml:space="preserve">.  In most cases, spectrum is set aside for </w:t>
      </w:r>
      <w:r w:rsidRPr="00710E11">
        <w:t>new entrants or small incumbents.</w:t>
      </w:r>
    </w:p>
    <w:p w14:paraId="2AB7A54A" w14:textId="7D0680CA" w:rsidR="00C645B8" w:rsidRDefault="00F50D2A" w:rsidP="001951A1">
      <w:pPr>
        <w:pStyle w:val="1"/>
      </w:pPr>
      <w:r w:rsidRPr="00AC098B">
        <w:t xml:space="preserve">In </w:t>
      </w:r>
      <w:r w:rsidR="009C1C7A">
        <w:t>2013, the</w:t>
      </w:r>
      <w:r w:rsidR="008E3807">
        <w:t xml:space="preserve"> United Kingdom </w:t>
      </w:r>
      <w:r w:rsidR="009C1C7A">
        <w:t xml:space="preserve">communications </w:t>
      </w:r>
      <w:r w:rsidR="008E3807">
        <w:t xml:space="preserve">regulator, </w:t>
      </w:r>
      <w:r w:rsidRPr="00AC098B">
        <w:t>Ofcom</w:t>
      </w:r>
      <w:r w:rsidR="008E3807">
        <w:t>,</w:t>
      </w:r>
      <w:r w:rsidRPr="00AC098B">
        <w:t xml:space="preserve"> </w:t>
      </w:r>
      <w:r>
        <w:t>imposed a novel intervention in the form of “</w:t>
      </w:r>
      <w:r w:rsidRPr="00E344B9">
        <w:rPr>
          <w:b/>
          <w:bCs/>
        </w:rPr>
        <w:t>spectrum floors</w:t>
      </w:r>
      <w:r>
        <w:t>”</w:t>
      </w:r>
      <w:r w:rsidR="009C1C7A">
        <w:t xml:space="preserve"> for its auction of 205MHz of spectrum in the 800MHz and 2600MHz spectrum bands</w:t>
      </w:r>
      <w:r w:rsidR="007D3236">
        <w:t xml:space="preserve"> (“</w:t>
      </w:r>
      <w:r w:rsidR="007D3236" w:rsidRPr="001614DD">
        <w:rPr>
          <w:b/>
          <w:bCs/>
        </w:rPr>
        <w:t>the 4G Auction</w:t>
      </w:r>
      <w:r w:rsidR="007D3236">
        <w:t>”)</w:t>
      </w:r>
      <w:r w:rsidR="009C1C7A">
        <w:t xml:space="preserve">. </w:t>
      </w:r>
      <w:r w:rsidR="007D3236">
        <w:t>Ofcom designed the</w:t>
      </w:r>
      <w:r w:rsidR="009C1C7A">
        <w:t xml:space="preserve"> 4G </w:t>
      </w:r>
      <w:r w:rsidR="007D3236">
        <w:t>A</w:t>
      </w:r>
      <w:r w:rsidR="009C1C7A">
        <w:t>uction</w:t>
      </w:r>
      <w:r w:rsidR="007D3236">
        <w:t xml:space="preserve"> so that</w:t>
      </w:r>
      <w:r w:rsidR="006F50CD">
        <w:t>:</w:t>
      </w:r>
    </w:p>
    <w:p w14:paraId="3724DB2F" w14:textId="7D87CE20" w:rsidR="00466C62" w:rsidRDefault="00466C62" w:rsidP="00DD38E2">
      <w:pPr>
        <w:pStyle w:val="2"/>
      </w:pPr>
      <w:proofErr w:type="gramStart"/>
      <w:r>
        <w:t>A number of</w:t>
      </w:r>
      <w:proofErr w:type="gramEnd"/>
      <w:r>
        <w:t xml:space="preserve"> “minimum portfolios” were </w:t>
      </w:r>
      <w:r w:rsidR="007D3236">
        <w:t xml:space="preserve">created </w:t>
      </w:r>
      <w:r>
        <w:t xml:space="preserve">and reserved for </w:t>
      </w:r>
      <w:r w:rsidRPr="00AC098B">
        <w:t xml:space="preserve">a subset of eligible </w:t>
      </w:r>
      <w:r>
        <w:t>bidders.</w:t>
      </w:r>
    </w:p>
    <w:p w14:paraId="0FA9828A" w14:textId="01DA65DB" w:rsidR="001B375F" w:rsidRDefault="001B375F" w:rsidP="004B554B">
      <w:pPr>
        <w:pStyle w:val="2"/>
      </w:pPr>
      <w:r>
        <w:lastRenderedPageBreak/>
        <w:t>An opt-in stage took place prior to any of the other auction rounds.  Bidders could signal their interest in</w:t>
      </w:r>
      <w:r w:rsidR="00F010C6">
        <w:t xml:space="preserve"> </w:t>
      </w:r>
      <w:r>
        <w:t>the spectrum reserved for the smallest operator (</w:t>
      </w:r>
      <w:r w:rsidR="007D3236">
        <w:t>known as “</w:t>
      </w:r>
      <w:r>
        <w:t>Three</w:t>
      </w:r>
      <w:r w:rsidR="007D3236">
        <w:t>”</w:t>
      </w:r>
      <w:r>
        <w:t>) or new entrants to the market.</w:t>
      </w:r>
    </w:p>
    <w:p w14:paraId="2CACFA08" w14:textId="25184869" w:rsidR="00466C62" w:rsidRDefault="00F8517A" w:rsidP="00927166">
      <w:pPr>
        <w:pStyle w:val="2"/>
      </w:pPr>
      <w:r>
        <w:t xml:space="preserve">The rationale behind spectrum floors </w:t>
      </w:r>
      <w:r w:rsidR="006F50CD">
        <w:t xml:space="preserve">was </w:t>
      </w:r>
      <w:r>
        <w:t xml:space="preserve">to ensure that </w:t>
      </w:r>
      <w:r w:rsidR="00F50D2A" w:rsidRPr="00AC098B">
        <w:t xml:space="preserve">all auction winners emerged with portfolios </w:t>
      </w:r>
      <w:r w:rsidR="00927166">
        <w:t xml:space="preserve">that Ofcom considered would be sufficient to ensure their </w:t>
      </w:r>
      <w:r w:rsidR="001B375F">
        <w:t>medium</w:t>
      </w:r>
      <w:r w:rsidR="00927166">
        <w:t xml:space="preserve">-term viability. </w:t>
      </w:r>
    </w:p>
    <w:p w14:paraId="67FD214A" w14:textId="0EA26AD9" w:rsidR="00F010C6" w:rsidRDefault="00F50D2A" w:rsidP="009C1C7A">
      <w:pPr>
        <w:pStyle w:val="1"/>
      </w:pPr>
      <w:r w:rsidRPr="00AC098B">
        <w:t xml:space="preserve">In </w:t>
      </w:r>
      <w:r w:rsidR="009C1C7A">
        <w:t xml:space="preserve">March </w:t>
      </w:r>
      <w:r w:rsidRPr="00AC098B">
        <w:t xml:space="preserve">2014, the UK’s National Audit Office produced a report </w:t>
      </w:r>
      <w:r w:rsidR="009C1C7A">
        <w:t xml:space="preserve">examining whether the 4G </w:t>
      </w:r>
      <w:r w:rsidR="007D3236">
        <w:t>A</w:t>
      </w:r>
      <w:r w:rsidR="009C1C7A">
        <w:t xml:space="preserve">uction </w:t>
      </w:r>
      <w:r w:rsidR="00D43110">
        <w:t xml:space="preserve">had </w:t>
      </w:r>
      <w:r w:rsidR="009C1C7A">
        <w:t>achieved Ofcom’s two main objectives of maintaining a competitive market and efficient allocation of the spectrum.</w:t>
      </w:r>
      <w:r w:rsidR="00D5619C">
        <w:t xml:space="preserve"> </w:t>
      </w:r>
      <w:r w:rsidR="00F010C6">
        <w:t xml:space="preserve">I attach as Annexure </w:t>
      </w:r>
      <w:r w:rsidR="00F010C6" w:rsidRPr="00140C60">
        <w:rPr>
          <w:b/>
          <w:bCs/>
        </w:rPr>
        <w:t>MMM</w:t>
      </w:r>
      <w:r w:rsidR="00E827F8" w:rsidRPr="00140C60">
        <w:rPr>
          <w:b/>
          <w:bCs/>
        </w:rPr>
        <w:t>14</w:t>
      </w:r>
      <w:r w:rsidR="00F010C6">
        <w:t xml:space="preserve"> </w:t>
      </w:r>
      <w:r w:rsidR="006253E0">
        <w:t xml:space="preserve">the </w:t>
      </w:r>
      <w:r w:rsidR="00F010C6">
        <w:t>“</w:t>
      </w:r>
      <w:r w:rsidR="00D5619C" w:rsidRPr="00F05BDA">
        <w:t>4G radio spectrum auction: lessons learned</w:t>
      </w:r>
      <w:r w:rsidR="00F010C6">
        <w:t>”</w:t>
      </w:r>
      <w:r w:rsidR="00D5619C">
        <w:t xml:space="preserve"> Report </w:t>
      </w:r>
      <w:r w:rsidR="006253E0">
        <w:t xml:space="preserve">published </w:t>
      </w:r>
      <w:r w:rsidR="00D5619C">
        <w:t>by the Co</w:t>
      </w:r>
      <w:r w:rsidR="00B56444">
        <w:t>n</w:t>
      </w:r>
      <w:r w:rsidR="00D5619C">
        <w:t xml:space="preserve">troller and Auditor General, National Audit Office, </w:t>
      </w:r>
      <w:r w:rsidR="006253E0">
        <w:t xml:space="preserve">on </w:t>
      </w:r>
      <w:r w:rsidR="00D5619C">
        <w:t>12 March 2014</w:t>
      </w:r>
      <w:r w:rsidR="00F010C6">
        <w:t>.</w:t>
      </w:r>
      <w:r w:rsidR="00D5619C">
        <w:t xml:space="preserve"> </w:t>
      </w:r>
      <w:r w:rsidRPr="00AC098B">
        <w:t xml:space="preserve"> </w:t>
      </w:r>
    </w:p>
    <w:p w14:paraId="51833432" w14:textId="3D47E5F8" w:rsidR="00F010C6" w:rsidRPr="00F010C6" w:rsidRDefault="00F010C6" w:rsidP="00A91536">
      <w:pPr>
        <w:pStyle w:val="1"/>
      </w:pPr>
      <w:r>
        <w:t>The Report explained</w:t>
      </w:r>
      <w:r w:rsidR="00A91536">
        <w:t xml:space="preserve"> the auction design</w:t>
      </w:r>
      <w:r w:rsidR="003A3234">
        <w:t>, and the imposition of the spectrum caps and spectrum floors</w:t>
      </w:r>
      <w:r w:rsidR="00A91536">
        <w:t>:</w:t>
      </w:r>
    </w:p>
    <w:p w14:paraId="57AF691D" w14:textId="77777777" w:rsidR="007D3236" w:rsidRDefault="00A91536">
      <w:pPr>
        <w:pStyle w:val="Quote"/>
      </w:pPr>
      <w:r>
        <w:t>“</w:t>
      </w:r>
      <w:r w:rsidR="00F010C6" w:rsidRPr="00F010C6">
        <w:t>Ofcom put in place spectrum floors which would ensure that the auction resulted in at least four operators, each with a minimum portfolio of spectrum. Pre-auction spectrum holdings counted as well as spectrum acquired in the auction. In effect, spectrum was reserved for an operator, either Three or new entrants that did not already have a minimum portfolio. To prevent the larger mobile operators acquiring large amounts of unreserved spectrum, the auction also included caps on the total amount of spectrum each operator could hold.</w:t>
      </w:r>
      <w:r w:rsidR="00F010C6">
        <w:t xml:space="preserve">” </w:t>
      </w:r>
    </w:p>
    <w:p w14:paraId="3176528F" w14:textId="4FD3914D" w:rsidR="00F010C6" w:rsidRPr="00F010C6" w:rsidRDefault="00F010C6" w:rsidP="00140C60">
      <w:pPr>
        <w:pStyle w:val="Quote"/>
      </w:pPr>
      <w:r>
        <w:t>(</w:t>
      </w:r>
      <w:r w:rsidR="007D3236" w:rsidRPr="00AC098B">
        <w:t xml:space="preserve">National Audit Office </w:t>
      </w:r>
      <w:r w:rsidR="007D3236">
        <w:t xml:space="preserve">Report, </w:t>
      </w:r>
      <w:r>
        <w:t>Appendix One, p2</w:t>
      </w:r>
      <w:r w:rsidR="00425B98">
        <w:t>5</w:t>
      </w:r>
      <w:r>
        <w:t>, para 2)</w:t>
      </w:r>
    </w:p>
    <w:p w14:paraId="567E2AA0" w14:textId="07E9B1C5" w:rsidR="003A3234" w:rsidRDefault="006054E7" w:rsidP="003A3234">
      <w:pPr>
        <w:pStyle w:val="1"/>
      </w:pPr>
      <w:r>
        <w:lastRenderedPageBreak/>
        <w:t>The Report found that Ofcom achieved its objective of maintaining at least four competing national wholesalers and gaining a new entrant to the market. (</w:t>
      </w:r>
      <w:r w:rsidR="007D3236" w:rsidRPr="00AC098B">
        <w:t xml:space="preserve">National Audit Office </w:t>
      </w:r>
      <w:r w:rsidR="007D3236">
        <w:t xml:space="preserve">Report, </w:t>
      </w:r>
      <w:r>
        <w:t>p20</w:t>
      </w:r>
      <w:r w:rsidR="007D3236">
        <w:t>, para 2.17</w:t>
      </w:r>
      <w:proofErr w:type="gramStart"/>
      <w:r>
        <w:t>)  However</w:t>
      </w:r>
      <w:proofErr w:type="gramEnd"/>
      <w:r>
        <w:t xml:space="preserve">, </w:t>
      </w:r>
      <w:r w:rsidR="00D43110">
        <w:t xml:space="preserve">it found that </w:t>
      </w:r>
      <w:r>
        <w:t xml:space="preserve">the use of spectrum floors and the opt-in round </w:t>
      </w:r>
      <w:r w:rsidR="007D3236">
        <w:t xml:space="preserve">made the auction unnecessarily complex, and </w:t>
      </w:r>
      <w:r>
        <w:t>had a number of serious consequences</w:t>
      </w:r>
      <w:r w:rsidR="0006423F">
        <w:t>:</w:t>
      </w:r>
    </w:p>
    <w:p w14:paraId="7874C97D" w14:textId="19547F1A" w:rsidR="003A3234" w:rsidRDefault="003A3234" w:rsidP="006054E7">
      <w:pPr>
        <w:pStyle w:val="2"/>
      </w:pPr>
      <w:r>
        <w:t>The smaller operator, Three, was the only bidder in the opt-in round</w:t>
      </w:r>
      <w:r w:rsidR="006054E7">
        <w:t xml:space="preserve">.  It was </w:t>
      </w:r>
      <w:r>
        <w:t>therefore guaranteed to win one of the reserved packages of spectrum and to pay only the reserve price for it.</w:t>
      </w:r>
    </w:p>
    <w:p w14:paraId="60A1422D" w14:textId="14596819" w:rsidR="00F010C6" w:rsidRDefault="006054E7" w:rsidP="00140C60">
      <w:pPr>
        <w:pStyle w:val="2"/>
      </w:pPr>
      <w:r>
        <w:t xml:space="preserve">The Auditor General stated that in </w:t>
      </w:r>
      <w:r w:rsidR="007D3236">
        <w:t>their</w:t>
      </w:r>
      <w:r>
        <w:t xml:space="preserve"> opinion, “</w:t>
      </w:r>
      <w:r w:rsidRPr="00140C60">
        <w:rPr>
          <w:i/>
        </w:rPr>
        <w:t>it is very unlikely that the reserve price was equal to [the spectrum’s] true value to Three’s business</w:t>
      </w:r>
      <w:r>
        <w:t>.” (</w:t>
      </w:r>
      <w:r w:rsidR="007D3236" w:rsidRPr="00AC098B">
        <w:t xml:space="preserve">National Audit Office </w:t>
      </w:r>
      <w:r w:rsidR="007D3236">
        <w:t>Report, p</w:t>
      </w:r>
      <w:r>
        <w:t xml:space="preserve"> 6; para 5). </w:t>
      </w:r>
      <w:r w:rsidR="00160E52">
        <w:t xml:space="preserve"> Three ultimately under-paid for the valuable spectrum it won through the opt-in round.</w:t>
      </w:r>
    </w:p>
    <w:p w14:paraId="3347B0A2" w14:textId="09BED16C" w:rsidR="001B375F" w:rsidRDefault="001B375F" w:rsidP="00140C60">
      <w:pPr>
        <w:pStyle w:val="2"/>
      </w:pPr>
      <w:r>
        <w:t xml:space="preserve">In respect of the proceeds </w:t>
      </w:r>
      <w:r w:rsidR="003A3234">
        <w:t>earned</w:t>
      </w:r>
      <w:r>
        <w:t xml:space="preserve"> from the auction, the Auditor General stated: </w:t>
      </w:r>
    </w:p>
    <w:p w14:paraId="52B46CC1" w14:textId="15701781" w:rsidR="001B375F" w:rsidRDefault="006054E7" w:rsidP="00140C60">
      <w:pPr>
        <w:pStyle w:val="Quote"/>
        <w:ind w:left="2127"/>
      </w:pPr>
      <w:r>
        <w:t>“</w:t>
      </w:r>
      <w:r w:rsidR="001B375F" w:rsidRPr="003A3234">
        <w:t>After adjusting for population sizes, proceeds were within the range achieved in other European auctions. Ofcom’s consultants, The Smith Institute, calculated that the proceeds were £159 mi</w:t>
      </w:r>
      <w:r w:rsidR="001B375F" w:rsidRPr="006054E7">
        <w:t>llion lower than they would have been had the radio spectrum won by Three not been reserved for a particular type of bidder</w:t>
      </w:r>
      <w:r>
        <w:t>.”</w:t>
      </w:r>
    </w:p>
    <w:p w14:paraId="76AD497B" w14:textId="2B55891E" w:rsidR="00160E52" w:rsidRPr="001B375F" w:rsidRDefault="00160E52" w:rsidP="00160E52">
      <w:pPr>
        <w:pStyle w:val="2"/>
      </w:pPr>
      <w:r>
        <w:t>The</w:t>
      </w:r>
      <w:r w:rsidRPr="00AC098B">
        <w:t xml:space="preserve"> Auditor General </w:t>
      </w:r>
      <w:r>
        <w:t xml:space="preserve">also </w:t>
      </w:r>
      <w:r w:rsidRPr="00AC098B">
        <w:t xml:space="preserve">criticised </w:t>
      </w:r>
      <w:r>
        <w:t>the auction</w:t>
      </w:r>
      <w:r w:rsidRPr="00AC098B">
        <w:t xml:space="preserve"> design for being </w:t>
      </w:r>
      <w:proofErr w:type="gramStart"/>
      <w:r w:rsidRPr="00AC098B">
        <w:t>over</w:t>
      </w:r>
      <w:r>
        <w:t>ly</w:t>
      </w:r>
      <w:r w:rsidRPr="00AC098B">
        <w:t>-complex</w:t>
      </w:r>
      <w:proofErr w:type="gramEnd"/>
      <w:r w:rsidRPr="00AC098B">
        <w:t xml:space="preserve"> relative to its real-world policy achievements</w:t>
      </w:r>
      <w:r>
        <w:t>.</w:t>
      </w:r>
      <w:r w:rsidR="006253E0">
        <w:t xml:space="preserve"> </w:t>
      </w:r>
      <w:r>
        <w:t xml:space="preserve"> In the light of this, it recommended:</w:t>
      </w:r>
    </w:p>
    <w:p w14:paraId="70E8E7BF" w14:textId="77777777" w:rsidR="00160E52" w:rsidRDefault="00160E52" w:rsidP="00160E52">
      <w:pPr>
        <w:pStyle w:val="Quote"/>
        <w:ind w:left="1985"/>
      </w:pPr>
      <w:r>
        <w:lastRenderedPageBreak/>
        <w:t>“</w:t>
      </w:r>
      <w:r w:rsidRPr="001B375F">
        <w:t xml:space="preserve">Ofcom should also try to make the design no more complex than is necessary to meet its objectives. Ofcom should also give bidders reasonable certainty on how the likely outcomes of the auction would relate to their individual bidding strategies. </w:t>
      </w:r>
    </w:p>
    <w:p w14:paraId="7FAFCDA0" w14:textId="24E3BC30" w:rsidR="001B375F" w:rsidRDefault="00160E52" w:rsidP="001614DD">
      <w:pPr>
        <w:pStyle w:val="Quote"/>
        <w:ind w:left="1985"/>
      </w:pPr>
      <w:r>
        <w:t>(</w:t>
      </w:r>
      <w:r w:rsidRPr="00AC098B">
        <w:t xml:space="preserve">National Audit Office </w:t>
      </w:r>
      <w:r>
        <w:t xml:space="preserve">Report, page </w:t>
      </w:r>
      <w:r w:rsidR="000352BB">
        <w:t>7</w:t>
      </w:r>
      <w:r>
        <w:t>; Recommendation 11)</w:t>
      </w:r>
    </w:p>
    <w:p w14:paraId="1078237F" w14:textId="507E5334" w:rsidR="00F50D2A" w:rsidRDefault="00F50D2A" w:rsidP="00140C60">
      <w:pPr>
        <w:pStyle w:val="1"/>
      </w:pPr>
      <w:r w:rsidRPr="00AC098B">
        <w:t xml:space="preserve">Ofcom did not re-introduce the </w:t>
      </w:r>
      <w:r w:rsidR="00D5619C">
        <w:t xml:space="preserve">spectrum </w:t>
      </w:r>
      <w:r w:rsidRPr="00AC098B">
        <w:t>floor</w:t>
      </w:r>
      <w:r w:rsidR="00D5619C">
        <w:t>s</w:t>
      </w:r>
      <w:r w:rsidRPr="00AC098B">
        <w:t xml:space="preserve"> </w:t>
      </w:r>
      <w:r w:rsidR="00D5619C">
        <w:t>or</w:t>
      </w:r>
      <w:r w:rsidRPr="00AC098B">
        <w:t xml:space="preserve"> </w:t>
      </w:r>
      <w:r w:rsidR="00656395">
        <w:t xml:space="preserve">an </w:t>
      </w:r>
      <w:r w:rsidRPr="00AC098B">
        <w:t xml:space="preserve">opt-in </w:t>
      </w:r>
      <w:r w:rsidR="005C4579">
        <w:t>stage</w:t>
      </w:r>
      <w:r w:rsidR="005C4579" w:rsidRPr="00AC098B">
        <w:t xml:space="preserve"> </w:t>
      </w:r>
      <w:r w:rsidRPr="00AC098B">
        <w:t xml:space="preserve">in its subsequent spectrum auctions. </w:t>
      </w:r>
      <w:r w:rsidR="00F07599">
        <w:t xml:space="preserve"> </w:t>
      </w:r>
      <w:r>
        <w:t xml:space="preserve">As far as MTN </w:t>
      </w:r>
      <w:proofErr w:type="gramStart"/>
      <w:r>
        <w:t>is able to</w:t>
      </w:r>
      <w:proofErr w:type="gramEnd"/>
      <w:r>
        <w:t xml:space="preserve"> ascertain, the </w:t>
      </w:r>
      <w:r w:rsidRPr="00AC098B">
        <w:t>concept</w:t>
      </w:r>
      <w:r>
        <w:t xml:space="preserve"> has not been used in any other jurisdiction</w:t>
      </w:r>
      <w:r w:rsidR="00D43110">
        <w:t xml:space="preserve"> in the world.</w:t>
      </w:r>
    </w:p>
    <w:p w14:paraId="12C255DB" w14:textId="1916EDB2" w:rsidR="00F50D2A" w:rsidRDefault="006F50CD">
      <w:pPr>
        <w:pStyle w:val="1"/>
      </w:pPr>
      <w:r>
        <w:t xml:space="preserve">ICASA </w:t>
      </w:r>
      <w:r w:rsidR="003D23FB">
        <w:t>has employed</w:t>
      </w:r>
      <w:r w:rsidR="00656395">
        <w:t xml:space="preserve"> al</w:t>
      </w:r>
      <w:r w:rsidR="00F8517A">
        <w:t xml:space="preserve">l </w:t>
      </w:r>
      <w:r w:rsidR="00656395">
        <w:t xml:space="preserve">three </w:t>
      </w:r>
      <w:r w:rsidR="00E62348">
        <w:t xml:space="preserve">of </w:t>
      </w:r>
      <w:r w:rsidR="00F8517A">
        <w:t xml:space="preserve">these </w:t>
      </w:r>
      <w:r w:rsidR="003D23FB">
        <w:t xml:space="preserve">forms of </w:t>
      </w:r>
      <w:r w:rsidR="00F8517A">
        <w:t>interventions in the ITA</w:t>
      </w:r>
      <w:r>
        <w:t>:</w:t>
      </w:r>
    </w:p>
    <w:p w14:paraId="180276BD" w14:textId="7ED564BF" w:rsidR="002069E4" w:rsidRDefault="005C10DE">
      <w:pPr>
        <w:pStyle w:val="2"/>
      </w:pPr>
      <w:r w:rsidRPr="00844B93">
        <w:rPr>
          <w:b/>
          <w:bCs/>
        </w:rPr>
        <w:t>Spectrum set-aside:</w:t>
      </w:r>
      <w:r>
        <w:t xml:space="preserve"> </w:t>
      </w:r>
      <w:r w:rsidR="002069E4">
        <w:t xml:space="preserve">ICASA has set aside 80MHz across the various frequencies for the </w:t>
      </w:r>
      <w:r>
        <w:t>Wireless Open Access Network</w:t>
      </w:r>
      <w:r w:rsidR="00656395">
        <w:t xml:space="preserve"> (</w:t>
      </w:r>
      <w:r w:rsidR="00656395" w:rsidRPr="00E344B9">
        <w:rPr>
          <w:b/>
          <w:bCs/>
        </w:rPr>
        <w:t>WOAN</w:t>
      </w:r>
      <w:r w:rsidR="00656395">
        <w:t>)</w:t>
      </w:r>
      <w:r w:rsidR="002069E4">
        <w:t xml:space="preserve">. </w:t>
      </w:r>
      <w:r>
        <w:t xml:space="preserve"> The details of this set</w:t>
      </w:r>
      <w:r w:rsidR="003D23FB">
        <w:t>-</w:t>
      </w:r>
      <w:r>
        <w:t xml:space="preserve">aside </w:t>
      </w:r>
      <w:r w:rsidR="006F50CD">
        <w:t xml:space="preserve">are </w:t>
      </w:r>
      <w:r>
        <w:t xml:space="preserve">found in the Composite Invitation to Apply for an Individual Electronic Communications Network </w:t>
      </w:r>
      <w:proofErr w:type="gramStart"/>
      <w:r>
        <w:t>service</w:t>
      </w:r>
      <w:proofErr w:type="gramEnd"/>
      <w:r>
        <w:t xml:space="preserve"> Licence and Radio Frequency Licence for the Wireless Open Access Network published on 2 October 2020 in Government Gazette 43767, Notice 534 of 2020. </w:t>
      </w:r>
      <w:r w:rsidR="006F50CD">
        <w:t xml:space="preserve">  I have not annexed a copy of the WOAN ITA to my affidavit since it is not directly relevant to this application.</w:t>
      </w:r>
    </w:p>
    <w:p w14:paraId="5BF8A9F0" w14:textId="6002BEA4" w:rsidR="00F50D2A" w:rsidRDefault="005C10DE">
      <w:pPr>
        <w:pStyle w:val="2"/>
      </w:pPr>
      <w:r w:rsidRPr="00844B93">
        <w:rPr>
          <w:b/>
          <w:bCs/>
        </w:rPr>
        <w:t>Spectrum caps:</w:t>
      </w:r>
      <w:r>
        <w:t xml:space="preserve"> </w:t>
      </w:r>
      <w:r w:rsidR="00200B52">
        <w:t xml:space="preserve">Paragraph 7 of the ITA imposes two </w:t>
      </w:r>
      <w:r w:rsidR="002069E4">
        <w:t>spectrum caps on bidders</w:t>
      </w:r>
      <w:r w:rsidR="006F50CD">
        <w:t>:</w:t>
      </w:r>
    </w:p>
    <w:p w14:paraId="6D9C4A41" w14:textId="4FB74E5C" w:rsidR="00F50D2A" w:rsidRDefault="00F50D2A">
      <w:pPr>
        <w:pStyle w:val="3"/>
      </w:pPr>
      <w:r>
        <w:t xml:space="preserve">There is an overall spectrum cap of 184MHz.  This includes the bidders’ existing spectrum holdings. </w:t>
      </w:r>
      <w:r w:rsidR="00200B52">
        <w:t xml:space="preserve"> ICASA </w:t>
      </w:r>
      <w:r w:rsidR="00200B52">
        <w:lastRenderedPageBreak/>
        <w:t xml:space="preserve">notes at paragraph 7.3 of the ITA that this is to ensure “that any individual licensee must not acquire more than approximately 18% of the 1015MHz of High demand spectrum that will be assigned </w:t>
      </w:r>
      <w:r w:rsidR="00302F5E">
        <w:t xml:space="preserve">at </w:t>
      </w:r>
      <w:r w:rsidR="00200B52">
        <w:t>the auction stage.”</w:t>
      </w:r>
    </w:p>
    <w:p w14:paraId="1FD9994D" w14:textId="3682FCEF" w:rsidR="00F50D2A" w:rsidRDefault="00F50D2A">
      <w:pPr>
        <w:pStyle w:val="3"/>
      </w:pPr>
      <w:r>
        <w:t>No party may bid for more than 2 x 21MHz in the sub-1GHz bands.</w:t>
      </w:r>
      <w:r w:rsidRPr="004053AA">
        <w:t xml:space="preserve"> </w:t>
      </w:r>
      <w:r w:rsidR="00302F5E">
        <w:t xml:space="preserve"> </w:t>
      </w:r>
      <w:r>
        <w:t xml:space="preserve">This includes the bidders’ existing spectrum holdings. </w:t>
      </w:r>
      <w:r w:rsidR="00200B52">
        <w:t xml:space="preserve"> ICASA notes that this is to ensure that licensees that have no sub-1GHz spectrum can acquire spectrum in this range. </w:t>
      </w:r>
    </w:p>
    <w:p w14:paraId="79DAD1D9" w14:textId="3E64EA71" w:rsidR="00F50D2A" w:rsidRDefault="00F50D2A">
      <w:pPr>
        <w:pStyle w:val="2"/>
      </w:pPr>
      <w:r>
        <w:t>ICASA explained in the Reasons Document that the spectrum caps have “</w:t>
      </w:r>
      <w:r w:rsidR="00F8517A" w:rsidRPr="00140C60">
        <w:rPr>
          <w:i/>
          <w:iCs w:val="0"/>
        </w:rPr>
        <w:t>b</w:t>
      </w:r>
      <w:r w:rsidRPr="00140C60">
        <w:rPr>
          <w:i/>
          <w:iCs w:val="0"/>
        </w:rPr>
        <w:t>een implemented to ensure equitable access to spectrum by all players, strike an appropriate balance for competition in the market and to ensure that the spectrum is not assigned to one entity. The ultimate objective being to ensure a market structure that can sustain at least five credible wholesale players post the Auction</w:t>
      </w:r>
      <w:r>
        <w:t>.” (Reasons Document; p32)</w:t>
      </w:r>
    </w:p>
    <w:p w14:paraId="73C2A91A" w14:textId="3C556D0A" w:rsidR="00656395" w:rsidRDefault="00656395">
      <w:pPr>
        <w:pStyle w:val="2"/>
      </w:pPr>
      <w:r w:rsidRPr="00844B93">
        <w:rPr>
          <w:b/>
          <w:bCs/>
        </w:rPr>
        <w:t xml:space="preserve">Spectrum </w:t>
      </w:r>
      <w:r>
        <w:rPr>
          <w:b/>
          <w:bCs/>
        </w:rPr>
        <w:t>floors</w:t>
      </w:r>
      <w:r w:rsidRPr="00844B93">
        <w:rPr>
          <w:b/>
          <w:bCs/>
        </w:rPr>
        <w:t>:</w:t>
      </w:r>
      <w:r>
        <w:t xml:space="preserve"> Paragraph 6 of the ITA deals with spectrum floors </w:t>
      </w:r>
      <w:r w:rsidR="00710E11">
        <w:t xml:space="preserve">as part of </w:t>
      </w:r>
      <w:r>
        <w:t>the Opt-In Scheme.</w:t>
      </w:r>
      <w:r w:rsidR="00D670A4">
        <w:t xml:space="preserve">  I describe this in the n</w:t>
      </w:r>
      <w:r w:rsidR="003D23FB">
        <w:t>ext section.</w:t>
      </w:r>
    </w:p>
    <w:p w14:paraId="060EEE1E" w14:textId="798B7E04" w:rsidR="005C10DE" w:rsidRDefault="005C10DE">
      <w:pPr>
        <w:pStyle w:val="2"/>
      </w:pPr>
      <w:r>
        <w:t xml:space="preserve">ICASA states that the spectrum caps and </w:t>
      </w:r>
      <w:r w:rsidR="00F80A9E">
        <w:t>floors</w:t>
      </w:r>
      <w:r>
        <w:t xml:space="preserve"> together with the obligations imposed on successful bidders - included in paragraph 12 of the ITA - are “</w:t>
      </w:r>
      <w:r w:rsidRPr="00140C60">
        <w:rPr>
          <w:i/>
          <w:iCs w:val="0"/>
        </w:rPr>
        <w:t>the minimum interventions necessary to resolve competition concerns</w:t>
      </w:r>
      <w:r>
        <w:t>.” (ITA, para 12.3.3.1)</w:t>
      </w:r>
      <w:r w:rsidR="00803B8C">
        <w:t xml:space="preserve">. </w:t>
      </w:r>
    </w:p>
    <w:p w14:paraId="1B51A08F" w14:textId="245559B2" w:rsidR="002069E4" w:rsidRDefault="002069E4">
      <w:pPr>
        <w:pStyle w:val="Heading2"/>
      </w:pPr>
      <w:bookmarkStart w:id="8" w:name="_Toc62222143"/>
      <w:r>
        <w:lastRenderedPageBreak/>
        <w:t>The Opt-In Scheme</w:t>
      </w:r>
      <w:bookmarkEnd w:id="8"/>
    </w:p>
    <w:p w14:paraId="11384D06" w14:textId="067A0919" w:rsidR="002069E4" w:rsidRDefault="002069E4" w:rsidP="006E2522">
      <w:pPr>
        <w:pStyle w:val="1"/>
      </w:pPr>
      <w:r>
        <w:t>Paragraph 6</w:t>
      </w:r>
      <w:r w:rsidR="004A3E46">
        <w:t xml:space="preserve"> along with paragraph 17.2</w:t>
      </w:r>
      <w:r>
        <w:t xml:space="preserve"> of the ITA deals with the Opt-In </w:t>
      </w:r>
      <w:r w:rsidR="00C03828">
        <w:t>Scheme</w:t>
      </w:r>
      <w:r>
        <w:t xml:space="preserve">.  ICASA has supplemented the criteria and scope of the Opt-In Auction Round through its responses to the inquiries.  Some additional detail was also provided to MTN through </w:t>
      </w:r>
      <w:r w:rsidR="00E91C43">
        <w:t xml:space="preserve">the </w:t>
      </w:r>
      <w:r>
        <w:t>correspondence with ICASA</w:t>
      </w:r>
      <w:r w:rsidR="00E91C43">
        <w:t xml:space="preserve"> that I have explained above</w:t>
      </w:r>
      <w:r>
        <w:t xml:space="preserve">. </w:t>
      </w:r>
    </w:p>
    <w:p w14:paraId="72D4C78C" w14:textId="390801DC" w:rsidR="002069E4" w:rsidRPr="008D6D17" w:rsidRDefault="002069E4" w:rsidP="001951A1">
      <w:pPr>
        <w:pStyle w:val="1"/>
      </w:pPr>
      <w:r w:rsidRPr="008D6D17">
        <w:t>Clause 6</w:t>
      </w:r>
      <w:r>
        <w:t>.1</w:t>
      </w:r>
      <w:r w:rsidRPr="008D6D17">
        <w:t xml:space="preserve"> of the ITA provides </w:t>
      </w:r>
      <w:r w:rsidR="003D23FB">
        <w:t>as follows</w:t>
      </w:r>
      <w:r w:rsidRPr="008D6D17">
        <w:t>:</w:t>
      </w:r>
    </w:p>
    <w:p w14:paraId="67F84190" w14:textId="3503D759" w:rsidR="002069E4" w:rsidRPr="008D6D17" w:rsidRDefault="002069E4" w:rsidP="003A1423">
      <w:pPr>
        <w:pStyle w:val="Quote"/>
      </w:pPr>
      <w:r w:rsidRPr="008D6D17">
        <w:t xml:space="preserve">“The Authority </w:t>
      </w:r>
      <w:r>
        <w:t>has</w:t>
      </w:r>
      <w:r w:rsidRPr="008D6D17">
        <w:t xml:space="preserve"> decided on the following attractive portfolios for the third and fourth national wholesale (Tier-2) operators to meet one of the minimum spectrum portfolios</w:t>
      </w:r>
      <w:r w:rsidR="007E75E9">
        <w:t xml:space="preserve"> (MSPs)</w:t>
      </w:r>
      <w:r w:rsidRPr="008D6D17">
        <w:t xml:space="preserve"> following the auction.  Note that the opt-in bidders need not have any spectrum holdings currently and bidding </w:t>
      </w:r>
      <w:r w:rsidR="00F70F46">
        <w:t>for t</w:t>
      </w:r>
      <w:r w:rsidR="00446C02">
        <w:t xml:space="preserve">he opt-in lots </w:t>
      </w:r>
      <w:r w:rsidRPr="008D6D17">
        <w:t>is open to any bidders other than Tier-1 operators.  There may be more than one bidder for each opt-in lot.”</w:t>
      </w:r>
    </w:p>
    <w:p w14:paraId="769161D8" w14:textId="4816A83C" w:rsidR="004A3E46" w:rsidRDefault="004A3E46" w:rsidP="006E2522">
      <w:pPr>
        <w:pStyle w:val="1"/>
      </w:pPr>
      <w:r>
        <w:t xml:space="preserve">This is followed by a table: </w:t>
      </w:r>
    </w:p>
    <w:p w14:paraId="2840F1EC" w14:textId="77777777" w:rsidR="00D43110" w:rsidRDefault="00D43110" w:rsidP="00140C60">
      <w:pPr>
        <w:pStyle w:val="1"/>
        <w:numPr>
          <w:ilvl w:val="0"/>
          <w:numId w:val="0"/>
        </w:numPr>
        <w:ind w:left="851"/>
      </w:pPr>
    </w:p>
    <w:tbl>
      <w:tblPr>
        <w:tblStyle w:val="TableGrid"/>
        <w:tblW w:w="0" w:type="auto"/>
        <w:tblLook w:val="04A0" w:firstRow="1" w:lastRow="0" w:firstColumn="1" w:lastColumn="0" w:noHBand="0" w:noVBand="1"/>
      </w:tblPr>
      <w:tblGrid>
        <w:gridCol w:w="3003"/>
        <w:gridCol w:w="3003"/>
        <w:gridCol w:w="3004"/>
      </w:tblGrid>
      <w:tr w:rsidR="004A3E46" w14:paraId="57399EA4" w14:textId="77777777" w:rsidTr="004A3E46">
        <w:tc>
          <w:tcPr>
            <w:tcW w:w="3003" w:type="dxa"/>
            <w:tcBorders>
              <w:top w:val="nil"/>
              <w:left w:val="nil"/>
            </w:tcBorders>
          </w:tcPr>
          <w:p w14:paraId="4263930E" w14:textId="1605FCC3" w:rsidR="004A3E46" w:rsidRPr="004A3E46" w:rsidRDefault="004A3E46" w:rsidP="005D44EE">
            <w:pPr>
              <w:pStyle w:val="1"/>
              <w:numPr>
                <w:ilvl w:val="0"/>
                <w:numId w:val="0"/>
              </w:numPr>
              <w:spacing w:line="240" w:lineRule="auto"/>
            </w:pPr>
          </w:p>
        </w:tc>
        <w:tc>
          <w:tcPr>
            <w:tcW w:w="3003" w:type="dxa"/>
          </w:tcPr>
          <w:p w14:paraId="010D5608" w14:textId="77777777" w:rsidR="004A3E46" w:rsidRPr="004A3E46" w:rsidRDefault="004A3E46" w:rsidP="00140C60">
            <w:pPr>
              <w:pStyle w:val="1"/>
              <w:numPr>
                <w:ilvl w:val="0"/>
                <w:numId w:val="0"/>
              </w:numPr>
              <w:spacing w:line="240" w:lineRule="auto"/>
            </w:pPr>
            <w:r w:rsidRPr="004A3E46">
              <w:t>Sub-1GHz (minimum, including existing assignments)</w:t>
            </w:r>
          </w:p>
        </w:tc>
        <w:tc>
          <w:tcPr>
            <w:tcW w:w="3004" w:type="dxa"/>
          </w:tcPr>
          <w:p w14:paraId="77AA317E" w14:textId="77777777" w:rsidR="004A3E46" w:rsidRPr="004A3E46" w:rsidRDefault="004A3E46" w:rsidP="00140C60">
            <w:pPr>
              <w:pStyle w:val="1"/>
              <w:numPr>
                <w:ilvl w:val="0"/>
                <w:numId w:val="0"/>
              </w:numPr>
              <w:spacing w:line="240" w:lineRule="auto"/>
            </w:pPr>
            <w:r w:rsidRPr="004A3E46">
              <w:t>1800MHz / 2100MHz and/or 2600MHz (minimum, including existing assignments)</w:t>
            </w:r>
          </w:p>
        </w:tc>
      </w:tr>
      <w:tr w:rsidR="004A3E46" w14:paraId="324FE7DD" w14:textId="77777777" w:rsidTr="004252E5">
        <w:tc>
          <w:tcPr>
            <w:tcW w:w="3003" w:type="dxa"/>
          </w:tcPr>
          <w:p w14:paraId="5887E64C" w14:textId="77777777" w:rsidR="004A3E46" w:rsidRPr="004A3E46" w:rsidRDefault="004A3E46" w:rsidP="005D44EE">
            <w:pPr>
              <w:pStyle w:val="1"/>
              <w:numPr>
                <w:ilvl w:val="0"/>
                <w:numId w:val="0"/>
              </w:numPr>
              <w:spacing w:line="240" w:lineRule="auto"/>
            </w:pPr>
            <w:r w:rsidRPr="004A3E46">
              <w:t>Portfolio 1</w:t>
            </w:r>
          </w:p>
        </w:tc>
        <w:tc>
          <w:tcPr>
            <w:tcW w:w="3003" w:type="dxa"/>
          </w:tcPr>
          <w:p w14:paraId="709AE0F3" w14:textId="77777777" w:rsidR="004A3E46" w:rsidRPr="004A3E46" w:rsidRDefault="004A3E46">
            <w:pPr>
              <w:pStyle w:val="1"/>
              <w:numPr>
                <w:ilvl w:val="0"/>
                <w:numId w:val="0"/>
              </w:numPr>
              <w:spacing w:line="240" w:lineRule="auto"/>
            </w:pPr>
            <w:r w:rsidRPr="004A3E46">
              <w:t>2 x 10 MHz</w:t>
            </w:r>
          </w:p>
        </w:tc>
        <w:tc>
          <w:tcPr>
            <w:tcW w:w="3004" w:type="dxa"/>
          </w:tcPr>
          <w:p w14:paraId="00B4C756" w14:textId="77777777" w:rsidR="004A3E46" w:rsidRPr="004A3E46" w:rsidRDefault="004A3E46">
            <w:pPr>
              <w:pStyle w:val="1"/>
              <w:numPr>
                <w:ilvl w:val="0"/>
                <w:numId w:val="0"/>
              </w:numPr>
              <w:spacing w:line="240" w:lineRule="auto"/>
            </w:pPr>
            <w:r w:rsidRPr="004A3E46">
              <w:t>60 MHz</w:t>
            </w:r>
          </w:p>
        </w:tc>
      </w:tr>
      <w:tr w:rsidR="004A3E46" w14:paraId="691B8853" w14:textId="77777777" w:rsidTr="004252E5">
        <w:tc>
          <w:tcPr>
            <w:tcW w:w="3003" w:type="dxa"/>
          </w:tcPr>
          <w:p w14:paraId="3E7ED6EA" w14:textId="77777777" w:rsidR="004A3E46" w:rsidRPr="004A3E46" w:rsidRDefault="004A3E46" w:rsidP="005D44EE">
            <w:pPr>
              <w:pStyle w:val="1"/>
              <w:numPr>
                <w:ilvl w:val="0"/>
                <w:numId w:val="0"/>
              </w:numPr>
              <w:spacing w:line="240" w:lineRule="auto"/>
            </w:pPr>
            <w:r w:rsidRPr="004A3E46">
              <w:t>Portfolio 2</w:t>
            </w:r>
          </w:p>
        </w:tc>
        <w:tc>
          <w:tcPr>
            <w:tcW w:w="3003" w:type="dxa"/>
          </w:tcPr>
          <w:p w14:paraId="230794E1" w14:textId="77777777" w:rsidR="004A3E46" w:rsidRPr="004A3E46" w:rsidRDefault="004A3E46">
            <w:pPr>
              <w:pStyle w:val="1"/>
              <w:numPr>
                <w:ilvl w:val="0"/>
                <w:numId w:val="0"/>
              </w:numPr>
              <w:spacing w:line="240" w:lineRule="auto"/>
            </w:pPr>
            <w:r w:rsidRPr="004A3E46">
              <w:t>2 x 15 MHz</w:t>
            </w:r>
          </w:p>
        </w:tc>
        <w:tc>
          <w:tcPr>
            <w:tcW w:w="3004" w:type="dxa"/>
          </w:tcPr>
          <w:p w14:paraId="74E75101" w14:textId="77777777" w:rsidR="004A3E46" w:rsidRPr="004A3E46" w:rsidRDefault="004A3E46">
            <w:pPr>
              <w:pStyle w:val="1"/>
              <w:numPr>
                <w:ilvl w:val="0"/>
                <w:numId w:val="0"/>
              </w:numPr>
              <w:spacing w:line="240" w:lineRule="auto"/>
            </w:pPr>
            <w:r w:rsidRPr="004A3E46">
              <w:t>40 MHz</w:t>
            </w:r>
          </w:p>
        </w:tc>
      </w:tr>
    </w:tbl>
    <w:p w14:paraId="7D2554DB" w14:textId="0B297830" w:rsidR="004A3E46" w:rsidRDefault="004A3E46" w:rsidP="00140C60">
      <w:pPr>
        <w:pStyle w:val="1"/>
        <w:numPr>
          <w:ilvl w:val="0"/>
          <w:numId w:val="0"/>
        </w:numPr>
        <w:ind w:left="567"/>
      </w:pPr>
    </w:p>
    <w:p w14:paraId="2E7813E9" w14:textId="1FA976D2" w:rsidR="00457EEE" w:rsidRDefault="00457EEE" w:rsidP="006E2522">
      <w:pPr>
        <w:pStyle w:val="1"/>
      </w:pPr>
      <w:r>
        <w:lastRenderedPageBreak/>
        <w:t xml:space="preserve">I emphasise that </w:t>
      </w:r>
      <w:r w:rsidR="00710E11">
        <w:t xml:space="preserve">the </w:t>
      </w:r>
      <w:r w:rsidR="005E7BF6">
        <w:t xml:space="preserve">columns </w:t>
      </w:r>
      <w:r w:rsidR="00710E11">
        <w:t xml:space="preserve">in this table </w:t>
      </w:r>
      <w:r>
        <w:t xml:space="preserve">refer in each case to “minimum, including existing assignments”.  This means that the successful bidder must, after the Opt-In Round, have available to it </w:t>
      </w:r>
      <w:r w:rsidRPr="00E344B9">
        <w:rPr>
          <w:u w:val="single"/>
        </w:rPr>
        <w:t>at least</w:t>
      </w:r>
      <w:r>
        <w:t xml:space="preserve"> the spectrum listed in the relevant column</w:t>
      </w:r>
      <w:r w:rsidR="00710E11">
        <w:t xml:space="preserve"> (including </w:t>
      </w:r>
      <w:r w:rsidR="005E7BF6">
        <w:t xml:space="preserve">any </w:t>
      </w:r>
      <w:r w:rsidR="00710E11">
        <w:t>assignments that it had before the auction).</w:t>
      </w:r>
    </w:p>
    <w:p w14:paraId="5043B9D5" w14:textId="68DC1A66" w:rsidR="004A3E46" w:rsidRDefault="004A3E46" w:rsidP="001951A1">
      <w:pPr>
        <w:pStyle w:val="1"/>
      </w:pPr>
      <w:r>
        <w:t>Paragraph 6.2 explains:</w:t>
      </w:r>
    </w:p>
    <w:p w14:paraId="513CEFCD" w14:textId="7F453F1D" w:rsidR="004A3E46" w:rsidRDefault="004A3E46" w:rsidP="003A1423">
      <w:pPr>
        <w:pStyle w:val="Quote"/>
      </w:pPr>
      <w:r>
        <w:t xml:space="preserve">“Portfolio 1 and portfolio 2 are spectrum floors designed to ensure that South Africa is left with at least five (5) credible wholesale national operators after the spectrum assignment process (including the WOAN).  This is to ensure that the third and fourth national wholesale operators have enough spectrum to be credible competitors.  These portfolios do not preclude any </w:t>
      </w:r>
      <w:r w:rsidR="00F80A9E">
        <w:t>licensee</w:t>
      </w:r>
      <w:r>
        <w:t xml:space="preserve"> from bidding for spectrum on any other Lots made available by the Authority for auction.”</w:t>
      </w:r>
    </w:p>
    <w:p w14:paraId="712D4F80" w14:textId="4645FFDB" w:rsidR="00C708D4" w:rsidRDefault="00C708D4" w:rsidP="006E2522">
      <w:pPr>
        <w:pStyle w:val="1"/>
      </w:pPr>
      <w:r>
        <w:t>Paragraph 6.3 provides that “</w:t>
      </w:r>
      <w:r w:rsidRPr="00B56D53">
        <w:t xml:space="preserve">those </w:t>
      </w:r>
      <w:r w:rsidRPr="00476D1D">
        <w:rPr>
          <w:u w:val="single"/>
        </w:rPr>
        <w:t>eligible to bid for spectrum</w:t>
      </w:r>
      <w:r w:rsidRPr="00B56D53">
        <w:t xml:space="preserve"> reserved through the floors … will be offered the opportunity to opt-in during the course of </w:t>
      </w:r>
      <w:r w:rsidR="00DE47CD">
        <w:t>an</w:t>
      </w:r>
      <w:r w:rsidR="00DE47CD" w:rsidRPr="00B56D53">
        <w:t xml:space="preserve"> </w:t>
      </w:r>
      <w:r w:rsidRPr="00B56D53">
        <w:t>Opt-in Round</w:t>
      </w:r>
      <w:r>
        <w:t xml:space="preserve">.” </w:t>
      </w:r>
    </w:p>
    <w:p w14:paraId="029011CA" w14:textId="77777777" w:rsidR="00850D8C" w:rsidRDefault="00350E5F" w:rsidP="001951A1">
      <w:pPr>
        <w:pStyle w:val="1"/>
      </w:pPr>
      <w:r>
        <w:t xml:space="preserve">The Opt-In Round will take place prior to any of the other auction rounds.  The Opt-In spectrum lots that are not awarded during the Opt-In Round will become available in subsequent auction rounds.  </w:t>
      </w:r>
    </w:p>
    <w:p w14:paraId="1B16CD2C" w14:textId="033C1A3C" w:rsidR="00443E40" w:rsidRDefault="00443E40" w:rsidP="00DD38E2">
      <w:pPr>
        <w:pStyle w:val="1"/>
      </w:pPr>
      <w:r>
        <w:t xml:space="preserve">Paragraph 17.2 of the ITA </w:t>
      </w:r>
      <w:r w:rsidR="00F741F9">
        <w:t>describes</w:t>
      </w:r>
      <w:r w:rsidR="00D670A4">
        <w:t xml:space="preserve"> </w:t>
      </w:r>
      <w:r>
        <w:t xml:space="preserve">the procedural mechanism for the Opt-In Auction Round. </w:t>
      </w:r>
    </w:p>
    <w:p w14:paraId="4E2B0B1F" w14:textId="1039C336" w:rsidR="000865E8" w:rsidRDefault="000865E8" w:rsidP="00DD38E2">
      <w:pPr>
        <w:pStyle w:val="1"/>
      </w:pPr>
      <w:r>
        <w:t xml:space="preserve">Paragraph 6 gives rise to a multitude of questions about the operation and implementation of the Opt-In Scheme. </w:t>
      </w:r>
      <w:r w:rsidR="005D44EE">
        <w:t xml:space="preserve"> </w:t>
      </w:r>
      <w:r w:rsidR="00850D8C">
        <w:t xml:space="preserve">However, </w:t>
      </w:r>
      <w:r>
        <w:t xml:space="preserve">ICASA has clarified only one aspect.  In its Response Document, ICASA confirmed that </w:t>
      </w:r>
      <w:proofErr w:type="gramStart"/>
      <w:r>
        <w:t>despite the fact that</w:t>
      </w:r>
      <w:proofErr w:type="gramEnd"/>
      <w:r>
        <w:t xml:space="preserve"> </w:t>
      </w:r>
      <w:r>
        <w:lastRenderedPageBreak/>
        <w:t>the column in table section 6.1 reads “1800MHz/2100MHz and/or 2600MHz”</w:t>
      </w:r>
      <w:r w:rsidR="000D38A3">
        <w:t>,</w:t>
      </w:r>
      <w:r>
        <w:t xml:space="preserve"> the Portfolios include “</w:t>
      </w:r>
      <w:r w:rsidRPr="00850D8C">
        <w:rPr>
          <w:i/>
        </w:rPr>
        <w:t>all the spectrum bands to be licensed in this process</w:t>
      </w:r>
      <w:r>
        <w:t xml:space="preserve">”. (Ques 167, </w:t>
      </w:r>
      <w:r w:rsidR="00A845F4">
        <w:t xml:space="preserve">Response </w:t>
      </w:r>
      <w:r>
        <w:t xml:space="preserve">Document, p54). </w:t>
      </w:r>
      <w:r w:rsidR="00783290">
        <w:t xml:space="preserve"> </w:t>
      </w:r>
      <w:r>
        <w:t>This means that 3500MHz is included in the minimum spectrum portfolios and is potentially one of the bands from which spectrum for opt-in lots will be drawn.</w:t>
      </w:r>
    </w:p>
    <w:p w14:paraId="4F6239FA" w14:textId="7E8CC42E" w:rsidR="00850D8C" w:rsidRDefault="00850D8C">
      <w:pPr>
        <w:pStyle w:val="1"/>
      </w:pPr>
      <w:r>
        <w:t xml:space="preserve">I elaborate below on </w:t>
      </w:r>
      <w:r w:rsidR="00E62348">
        <w:t xml:space="preserve">some aspects of the </w:t>
      </w:r>
      <w:r w:rsidR="00457EEE">
        <w:t xml:space="preserve">ongoing </w:t>
      </w:r>
      <w:r>
        <w:t>uncertainty regarding how the Opt-In Scheme will work</w:t>
      </w:r>
      <w:r w:rsidR="00D670A4">
        <w:t xml:space="preserve"> in practice.</w:t>
      </w:r>
    </w:p>
    <w:p w14:paraId="7C05397E" w14:textId="79BAE4F0" w:rsidR="004107C9" w:rsidRPr="00E344B9" w:rsidRDefault="004107C9" w:rsidP="004107C9">
      <w:pPr>
        <w:rPr>
          <w:i/>
          <w:iCs/>
        </w:rPr>
      </w:pPr>
      <w:r w:rsidRPr="00E344B9">
        <w:rPr>
          <w:i/>
          <w:iCs/>
        </w:rPr>
        <w:t xml:space="preserve">What </w:t>
      </w:r>
      <w:r w:rsidR="00D670A4">
        <w:rPr>
          <w:i/>
          <w:iCs/>
        </w:rPr>
        <w:t>will be</w:t>
      </w:r>
      <w:r w:rsidR="00D670A4" w:rsidRPr="00E344B9">
        <w:rPr>
          <w:i/>
          <w:iCs/>
        </w:rPr>
        <w:t xml:space="preserve"> </w:t>
      </w:r>
      <w:r w:rsidRPr="00E344B9">
        <w:rPr>
          <w:i/>
          <w:iCs/>
        </w:rPr>
        <w:t>the object of the bid?</w:t>
      </w:r>
    </w:p>
    <w:p w14:paraId="3B3619B3" w14:textId="77777777" w:rsidR="00892D11" w:rsidRDefault="004107C9" w:rsidP="006E2522">
      <w:pPr>
        <w:pStyle w:val="1"/>
      </w:pPr>
      <w:r w:rsidRPr="00AC098B">
        <w:t>It is unclear what it is that eligible participants are expected to place bids on during the opt-in round</w:t>
      </w:r>
      <w:r w:rsidR="00892D11">
        <w:t>.</w:t>
      </w:r>
    </w:p>
    <w:p w14:paraId="79B6FC98" w14:textId="0BA96B88" w:rsidR="004107C9" w:rsidRDefault="00892D11" w:rsidP="001951A1">
      <w:pPr>
        <w:pStyle w:val="1"/>
      </w:pPr>
      <w:r>
        <w:t xml:space="preserve">The heading </w:t>
      </w:r>
      <w:r w:rsidR="00D670A4">
        <w:t xml:space="preserve">to </w:t>
      </w:r>
      <w:r>
        <w:t xml:space="preserve">paragraph 6 refers to “Opt-In lots” but there is nothing that explains </w:t>
      </w:r>
      <w:r w:rsidR="00CE1B2A">
        <w:t xml:space="preserve">what these will be.  In particular, it is not clear </w:t>
      </w:r>
      <w:r>
        <w:t xml:space="preserve">whether </w:t>
      </w:r>
      <w:r w:rsidR="00CE1B2A">
        <w:t>the Opt-In lots will be</w:t>
      </w:r>
      <w:r>
        <w:t xml:space="preserve"> </w:t>
      </w:r>
      <w:r w:rsidR="004107C9" w:rsidRPr="00AC098B">
        <w:t xml:space="preserve">individual lots </w:t>
      </w:r>
      <w:r w:rsidR="00CE1B2A">
        <w:t>selected</w:t>
      </w:r>
      <w:r>
        <w:t xml:space="preserve"> from the total Lots available</w:t>
      </w:r>
      <w:r w:rsidR="000E4344">
        <w:t xml:space="preserve"> (as set out in paragraph 5 of the ITA)</w:t>
      </w:r>
      <w:r w:rsidR="004107C9" w:rsidRPr="00AC098B">
        <w:t xml:space="preserve">, a portfolio of lots </w:t>
      </w:r>
      <w:r>
        <w:t>curated by ICASA</w:t>
      </w:r>
      <w:r w:rsidR="00CE1B2A">
        <w:t xml:space="preserve">, </w:t>
      </w:r>
      <w:r w:rsidR="004107C9" w:rsidRPr="00AC098B">
        <w:t>or the</w:t>
      </w:r>
      <w:r w:rsidR="00CE1B2A">
        <w:t xml:space="preserve"> spectrum amounts that coincide with the</w:t>
      </w:r>
      <w:r w:rsidR="004107C9" w:rsidRPr="00AC098B">
        <w:t xml:space="preserve"> </w:t>
      </w:r>
      <w:r w:rsidR="00CE1B2A">
        <w:t>minimum</w:t>
      </w:r>
      <w:r w:rsidR="004107C9">
        <w:t xml:space="preserve"> spectrum portfolios</w:t>
      </w:r>
      <w:r w:rsidR="00CE1B2A">
        <w:t xml:space="preserve"> set out in the table in paragraph 6</w:t>
      </w:r>
      <w:r w:rsidR="000E4344">
        <w:t xml:space="preserve"> of the ITA.</w:t>
      </w:r>
    </w:p>
    <w:p w14:paraId="787BC347" w14:textId="5DFFCB85" w:rsidR="00C708D4" w:rsidRPr="00E344B9" w:rsidRDefault="00C708D4" w:rsidP="00140C60">
      <w:pPr>
        <w:keepNext/>
        <w:rPr>
          <w:i/>
          <w:iCs/>
        </w:rPr>
      </w:pPr>
      <w:r w:rsidRPr="00E344B9">
        <w:rPr>
          <w:i/>
          <w:iCs/>
        </w:rPr>
        <w:t>Who will be eligible to participate in the Opt-In Round?</w:t>
      </w:r>
    </w:p>
    <w:p w14:paraId="35EC5BA7" w14:textId="5BFD1FDB" w:rsidR="00C708D4" w:rsidRDefault="002069E4" w:rsidP="006E2522">
      <w:pPr>
        <w:pStyle w:val="1"/>
      </w:pPr>
      <w:r>
        <w:t xml:space="preserve">Clause 6.1 contains </w:t>
      </w:r>
      <w:r w:rsidR="00C708D4">
        <w:t xml:space="preserve">a clear </w:t>
      </w:r>
      <w:r>
        <w:t>“entry requirement” for the Opt-In Round</w:t>
      </w:r>
      <w:r w:rsidR="00D43110">
        <w:t xml:space="preserve"> since it provides that</w:t>
      </w:r>
      <w:r>
        <w:t xml:space="preserve"> </w:t>
      </w:r>
      <w:r w:rsidR="00850D8C">
        <w:t xml:space="preserve">the </w:t>
      </w:r>
      <w:r>
        <w:t>bidder cannot be a Tier-1 operator.  Beyond this</w:t>
      </w:r>
      <w:r w:rsidR="00850D8C">
        <w:t xml:space="preserve">, however, </w:t>
      </w:r>
      <w:r>
        <w:t xml:space="preserve">it is unclear which bidders will be entitled to participate in the Opt-In </w:t>
      </w:r>
      <w:r w:rsidR="00BC4845">
        <w:t>Round</w:t>
      </w:r>
      <w:r>
        <w:t xml:space="preserve"> and what criteria ICASA will use to determine eligibility to participate. </w:t>
      </w:r>
    </w:p>
    <w:p w14:paraId="25CFC7D4" w14:textId="7EEDCA06" w:rsidR="002069E4" w:rsidRDefault="002069E4" w:rsidP="001951A1">
      <w:pPr>
        <w:pStyle w:val="1"/>
      </w:pPr>
      <w:r>
        <w:t xml:space="preserve">ICASA has stated in the </w:t>
      </w:r>
      <w:r w:rsidR="00C708D4">
        <w:t>Response</w:t>
      </w:r>
      <w:r>
        <w:t xml:space="preserve"> Document that:</w:t>
      </w:r>
    </w:p>
    <w:p w14:paraId="2F31C657" w14:textId="66F3DEB5" w:rsidR="002069E4" w:rsidRDefault="002069E4" w:rsidP="00DD38E2">
      <w:pPr>
        <w:pStyle w:val="2"/>
      </w:pPr>
      <w:r>
        <w:lastRenderedPageBreak/>
        <w:t>Bidders with less spectrum than the minimum spectrum portfolio may qualify for the Opt-In Auction Round (Response to Query 170</w:t>
      </w:r>
      <w:r w:rsidR="00F06373">
        <w:t>, page 55, Response Document</w:t>
      </w:r>
      <w:r>
        <w:t xml:space="preserve">); </w:t>
      </w:r>
    </w:p>
    <w:p w14:paraId="2392C588" w14:textId="584D713B" w:rsidR="002069E4" w:rsidRDefault="002069E4" w:rsidP="00DD38E2">
      <w:pPr>
        <w:pStyle w:val="2"/>
      </w:pPr>
      <w:r>
        <w:t>In response to the query by Liquid asking “how will the opt-in rounds work”, ICASA referred bidders to section 6 of the ITA and stated that “</w:t>
      </w:r>
      <w:r w:rsidRPr="00C708D4">
        <w:rPr>
          <w:i/>
        </w:rPr>
        <w:t xml:space="preserve">During the bidding process, the Authority will calculate the spectrum holdings of the bidders and determine those who qualify for Opt-In rounds so that they </w:t>
      </w:r>
      <w:r w:rsidR="00B63BA2">
        <w:rPr>
          <w:i/>
        </w:rPr>
        <w:t>could</w:t>
      </w:r>
      <w:r w:rsidR="00B63BA2" w:rsidRPr="00C708D4">
        <w:rPr>
          <w:i/>
        </w:rPr>
        <w:t xml:space="preserve"> </w:t>
      </w:r>
      <w:r w:rsidRPr="00C708D4">
        <w:rPr>
          <w:i/>
        </w:rPr>
        <w:t>acquire enough spectrum from the auction to be credible national wholesale operators</w:t>
      </w:r>
      <w:r>
        <w:t xml:space="preserve">. (Response to Query 14; page 8, </w:t>
      </w:r>
      <w:r w:rsidR="00F06373">
        <w:t xml:space="preserve">Response </w:t>
      </w:r>
      <w:r>
        <w:t xml:space="preserve">Document). </w:t>
      </w:r>
    </w:p>
    <w:p w14:paraId="611E9BD8" w14:textId="6CE80059" w:rsidR="00C708D4" w:rsidRPr="00E344B9" w:rsidRDefault="00D670A4" w:rsidP="00BC4845">
      <w:pPr>
        <w:rPr>
          <w:i/>
          <w:iCs/>
        </w:rPr>
      </w:pPr>
      <w:r>
        <w:rPr>
          <w:i/>
          <w:iCs/>
        </w:rPr>
        <w:t xml:space="preserve">What </w:t>
      </w:r>
      <w:r w:rsidR="00BC4845" w:rsidRPr="00E344B9">
        <w:rPr>
          <w:i/>
          <w:iCs/>
        </w:rPr>
        <w:t xml:space="preserve">quantity of spectrum </w:t>
      </w:r>
      <w:r>
        <w:rPr>
          <w:i/>
          <w:iCs/>
        </w:rPr>
        <w:t xml:space="preserve">will be </w:t>
      </w:r>
      <w:r w:rsidR="00BC4845" w:rsidRPr="00E344B9">
        <w:rPr>
          <w:i/>
          <w:iCs/>
        </w:rPr>
        <w:t>available in the Opt-In Round</w:t>
      </w:r>
      <w:r>
        <w:rPr>
          <w:i/>
          <w:iCs/>
        </w:rPr>
        <w:t>?</w:t>
      </w:r>
    </w:p>
    <w:p w14:paraId="1680224D" w14:textId="1B624647" w:rsidR="003037B4" w:rsidRDefault="003037B4" w:rsidP="006E2522">
      <w:pPr>
        <w:pStyle w:val="1"/>
      </w:pPr>
      <w:r>
        <w:t xml:space="preserve">The ITA does not inform bidders of the </w:t>
      </w:r>
      <w:r w:rsidR="00BC4845" w:rsidRPr="00C953D0">
        <w:t xml:space="preserve">total </w:t>
      </w:r>
      <w:r>
        <w:t xml:space="preserve">quantity of </w:t>
      </w:r>
      <w:r w:rsidR="00BC4845" w:rsidRPr="00C953D0">
        <w:t>spectrum that will be available in the Opt-In Round</w:t>
      </w:r>
      <w:r w:rsidR="00561464">
        <w:t>.</w:t>
      </w:r>
      <w:r>
        <w:t xml:space="preserve"> </w:t>
      </w:r>
    </w:p>
    <w:p w14:paraId="18821828" w14:textId="2F48B387" w:rsidR="003037B4" w:rsidRDefault="003037B4" w:rsidP="001951A1">
      <w:pPr>
        <w:pStyle w:val="1"/>
      </w:pPr>
      <w:r w:rsidRPr="00BC4845">
        <w:t xml:space="preserve">MTN, along with the other prospective bidders, sought to resolve this confusion in its queries to ICASA. </w:t>
      </w:r>
      <w:r>
        <w:t xml:space="preserve"> MTN asked ICASA to </w:t>
      </w:r>
      <w:r w:rsidRPr="004C7398">
        <w:t>confirm what quantity of spectrum will be available for auction following the opt-in auction round</w:t>
      </w:r>
      <w:r>
        <w:t>.</w:t>
      </w:r>
    </w:p>
    <w:p w14:paraId="4BF4DD9F" w14:textId="7E56289C" w:rsidR="00BC4845" w:rsidRDefault="003037B4" w:rsidP="00DD38E2">
      <w:pPr>
        <w:pStyle w:val="1"/>
      </w:pPr>
      <w:r>
        <w:t>In response to a similar question from another party, ICASA</w:t>
      </w:r>
      <w:r w:rsidR="00BC4845">
        <w:t xml:space="preserve"> responded that: “</w:t>
      </w:r>
      <w:r w:rsidR="00BC4845" w:rsidRPr="002069E4">
        <w:rPr>
          <w:i/>
        </w:rPr>
        <w:t>The qualified bidders will be advised at the auction stage of this licensing process</w:t>
      </w:r>
      <w:r w:rsidR="00BC4845">
        <w:t>.” (</w:t>
      </w:r>
      <w:r w:rsidR="00C90783">
        <w:t xml:space="preserve">Response to Query </w:t>
      </w:r>
      <w:r w:rsidR="00BC4845">
        <w:t>168, p55</w:t>
      </w:r>
      <w:r w:rsidR="00C90783">
        <w:t>, Response Document</w:t>
      </w:r>
      <w:r w:rsidR="00BC4845">
        <w:t>)</w:t>
      </w:r>
      <w:r w:rsidR="00C90783">
        <w:t xml:space="preserve">. </w:t>
      </w:r>
    </w:p>
    <w:p w14:paraId="2461CBF2" w14:textId="1A5DBBB4" w:rsidR="003037B4" w:rsidRDefault="00561464" w:rsidP="00DD38E2">
      <w:pPr>
        <w:pStyle w:val="1"/>
      </w:pPr>
      <w:r>
        <w:t xml:space="preserve">The most comprehensive response provided by ICASA was in relation to </w:t>
      </w:r>
      <w:r w:rsidR="003037B4">
        <w:t>Vodacom’s queries at Ques</w:t>
      </w:r>
      <w:r w:rsidR="00850D8C">
        <w:t>tion</w:t>
      </w:r>
      <w:r w:rsidR="003037B4">
        <w:t xml:space="preserve"> 165</w:t>
      </w:r>
      <w:r>
        <w:t xml:space="preserve"> as follows:</w:t>
      </w:r>
    </w:p>
    <w:p w14:paraId="376E7A97" w14:textId="4AA44AF2" w:rsidR="003037B4" w:rsidRDefault="003037B4" w:rsidP="003A1423">
      <w:pPr>
        <w:pStyle w:val="Quote"/>
      </w:pPr>
      <w:r>
        <w:t xml:space="preserve">The Authority conducted a competition assessment prior to the publication of the ITA.  The competition assessment </w:t>
      </w:r>
      <w:r>
        <w:lastRenderedPageBreak/>
        <w:t xml:space="preserve">assessed the status pre-auction and post-auction of the ICT Sector.  Section 12.6 of the ITA supports the objective of the efficient use of the radio frequency spectrum.  </w:t>
      </w:r>
      <w:r w:rsidRPr="00C708D4">
        <w:rPr>
          <w:u w:val="single"/>
        </w:rPr>
        <w:t xml:space="preserve">The Authority has imposed the spectrum floors to ensure that any player that requires the radio frequency spectrum from the auction become a credible player in the market.  </w:t>
      </w:r>
      <w:r>
        <w:t>The minimum spectrum portfolios are prescribed in the ITA to enable credibility of national wholesale operators.  The minimum spectrum portfolios will be facilitated through the opt-in round which do not precluded the bidders to participate in other rounds.  Opt-in rounds will be first round for all the bidders to acquire one of the minimum spectrum portfolios.”</w:t>
      </w:r>
    </w:p>
    <w:p w14:paraId="351643E0" w14:textId="484A4864" w:rsidR="00BC4845" w:rsidRDefault="00BC4845" w:rsidP="006E2522">
      <w:pPr>
        <w:pStyle w:val="1"/>
      </w:pPr>
      <w:r w:rsidRPr="006138D0">
        <w:t xml:space="preserve">It is not clear whether a participating bidder can bid only up to the spectrum floor </w:t>
      </w:r>
      <w:r w:rsidR="006138D0" w:rsidRPr="006138D0">
        <w:t>set out in the table</w:t>
      </w:r>
      <w:r w:rsidR="00850D8C">
        <w:t xml:space="preserve">, </w:t>
      </w:r>
      <w:r w:rsidR="006138D0" w:rsidRPr="006138D0">
        <w:t>or whether bidders can bid for spectrum in the Opt-In Round until they reach the overall spectrum</w:t>
      </w:r>
      <w:r w:rsidRPr="006138D0">
        <w:t xml:space="preserve"> cap of 184MHz </w:t>
      </w:r>
      <w:r w:rsidR="006138D0" w:rsidRPr="006138D0">
        <w:t>or 2x21MHz for sub 1 GHz spectrum.</w:t>
      </w:r>
    </w:p>
    <w:p w14:paraId="6F6B8E85" w14:textId="19CCA79A" w:rsidR="00F80271" w:rsidRDefault="00F80271" w:rsidP="00F80271">
      <w:pPr>
        <w:pStyle w:val="1"/>
      </w:pPr>
      <w:r>
        <w:t>The confusion and uncertainty surrounding the operation of the Opt-in round has serious consequences for MTN and directly impacts its ability to value the spectrum and prepare its auction bidding strategy.</w:t>
      </w:r>
    </w:p>
    <w:p w14:paraId="5E0986CD" w14:textId="43ABB6CE" w:rsidR="00F80271" w:rsidRPr="00F80271" w:rsidRDefault="00F80271" w:rsidP="00F80271">
      <w:pPr>
        <w:pStyle w:val="1"/>
        <w:rPr>
          <w:lang w:val="en-ZA" w:eastAsia="en-GB"/>
        </w:rPr>
      </w:pPr>
      <w:r w:rsidRPr="00F80271">
        <w:rPr>
          <w:lang w:val="en-ZA" w:eastAsia="en-GB"/>
        </w:rPr>
        <w:t>The value of a specific lot of spectrum to MTN depends upon</w:t>
      </w:r>
      <w:r w:rsidR="00293592">
        <w:rPr>
          <w:lang w:val="en-ZA" w:eastAsia="en-GB"/>
        </w:rPr>
        <w:t>:</w:t>
      </w:r>
    </w:p>
    <w:p w14:paraId="2E854E53" w14:textId="4A60EA39" w:rsidR="00F80271" w:rsidRPr="00F80271" w:rsidRDefault="005E7BF6" w:rsidP="00F80271">
      <w:pPr>
        <w:pStyle w:val="2"/>
        <w:rPr>
          <w:lang w:val="en-ZA" w:eastAsia="en-GB"/>
        </w:rPr>
      </w:pPr>
      <w:r>
        <w:rPr>
          <w:lang w:val="en-ZA" w:eastAsia="en-GB"/>
        </w:rPr>
        <w:t>w</w:t>
      </w:r>
      <w:r w:rsidR="00F80271" w:rsidRPr="00F80271">
        <w:rPr>
          <w:lang w:val="en-ZA" w:eastAsia="en-GB"/>
        </w:rPr>
        <w:t>hat spectrum is hel</w:t>
      </w:r>
      <w:r w:rsidR="00293592">
        <w:rPr>
          <w:lang w:val="en-ZA" w:eastAsia="en-GB"/>
        </w:rPr>
        <w:t>d</w:t>
      </w:r>
      <w:r w:rsidR="00F80271" w:rsidRPr="00F80271">
        <w:rPr>
          <w:lang w:val="en-ZA" w:eastAsia="en-GB"/>
        </w:rPr>
        <w:t xml:space="preserve"> by competitors </w:t>
      </w:r>
      <w:r w:rsidR="00293592">
        <w:rPr>
          <w:lang w:val="en-ZA" w:eastAsia="en-GB"/>
        </w:rPr>
        <w:t>after</w:t>
      </w:r>
      <w:r w:rsidR="00F80271" w:rsidRPr="00F80271">
        <w:rPr>
          <w:lang w:val="en-ZA" w:eastAsia="en-GB"/>
        </w:rPr>
        <w:t xml:space="preserve"> the auction; and</w:t>
      </w:r>
    </w:p>
    <w:p w14:paraId="4B1A968D" w14:textId="030668CC" w:rsidR="00F80271" w:rsidRPr="00F80271" w:rsidRDefault="005E7BF6" w:rsidP="00F80271">
      <w:pPr>
        <w:pStyle w:val="2"/>
        <w:rPr>
          <w:lang w:val="en-ZA" w:eastAsia="en-GB"/>
        </w:rPr>
      </w:pPr>
      <w:r>
        <w:rPr>
          <w:lang w:val="en-ZA" w:eastAsia="en-GB"/>
        </w:rPr>
        <w:t>w</w:t>
      </w:r>
      <w:r w:rsidR="00F80271" w:rsidRPr="00F80271">
        <w:rPr>
          <w:lang w:val="en-ZA" w:eastAsia="en-GB"/>
        </w:rPr>
        <w:t>hat other spectrum MTN will hold at the end of the auction</w:t>
      </w:r>
      <w:r w:rsidR="00293592">
        <w:rPr>
          <w:lang w:val="en-ZA" w:eastAsia="en-GB"/>
        </w:rPr>
        <w:t xml:space="preserve"> (in other words, how the </w:t>
      </w:r>
      <w:proofErr w:type="gramStart"/>
      <w:r w:rsidR="00293592">
        <w:rPr>
          <w:lang w:val="en-ZA" w:eastAsia="en-GB"/>
        </w:rPr>
        <w:t>particular lot</w:t>
      </w:r>
      <w:proofErr w:type="gramEnd"/>
      <w:r w:rsidR="00293592">
        <w:rPr>
          <w:lang w:val="en-ZA" w:eastAsia="en-GB"/>
        </w:rPr>
        <w:t xml:space="preserve"> will fit into MTN’s spectrum holding)</w:t>
      </w:r>
      <w:r w:rsidR="00F80271" w:rsidRPr="00F80271">
        <w:rPr>
          <w:lang w:val="en-ZA" w:eastAsia="en-GB"/>
        </w:rPr>
        <w:t>.</w:t>
      </w:r>
    </w:p>
    <w:p w14:paraId="6944CF64" w14:textId="3D429711" w:rsidR="00293592" w:rsidRDefault="00293592" w:rsidP="00F80271">
      <w:pPr>
        <w:pStyle w:val="1"/>
        <w:rPr>
          <w:lang w:val="en-ZA" w:eastAsia="en-GB"/>
        </w:rPr>
      </w:pPr>
      <w:r>
        <w:rPr>
          <w:lang w:val="en-ZA" w:eastAsia="en-GB"/>
        </w:rPr>
        <w:lastRenderedPageBreak/>
        <w:t xml:space="preserve">The ITA, </w:t>
      </w:r>
      <w:r w:rsidR="005E7BF6">
        <w:rPr>
          <w:lang w:val="en-ZA" w:eastAsia="en-GB"/>
        </w:rPr>
        <w:t xml:space="preserve">the </w:t>
      </w:r>
      <w:r>
        <w:rPr>
          <w:lang w:val="en-ZA" w:eastAsia="en-GB"/>
        </w:rPr>
        <w:t xml:space="preserve">Response Document and </w:t>
      </w:r>
      <w:r w:rsidR="005E7BF6">
        <w:rPr>
          <w:lang w:val="en-ZA" w:eastAsia="en-GB"/>
        </w:rPr>
        <w:t xml:space="preserve">the </w:t>
      </w:r>
      <w:r>
        <w:rPr>
          <w:lang w:val="en-ZA" w:eastAsia="en-GB"/>
        </w:rPr>
        <w:t>Reasons Document do not give any certainty on these issues.  MTN does not know what lots it will be able to bid for in the subsequent auction rounds</w:t>
      </w:r>
      <w:r w:rsidR="000D38A3">
        <w:rPr>
          <w:lang w:val="en-ZA" w:eastAsia="en-GB"/>
        </w:rPr>
        <w:t>, n</w:t>
      </w:r>
      <w:r>
        <w:rPr>
          <w:lang w:val="en-ZA" w:eastAsia="en-GB"/>
        </w:rPr>
        <w:t xml:space="preserve">or can it predict what lots will be assigned to its competitors. </w:t>
      </w:r>
    </w:p>
    <w:p w14:paraId="1662499C" w14:textId="1A44D585" w:rsidR="009A63A8" w:rsidRPr="00F80271" w:rsidRDefault="009A63A8" w:rsidP="009A63A8">
      <w:pPr>
        <w:pStyle w:val="1"/>
        <w:rPr>
          <w:lang w:val="en-ZA" w:eastAsia="en-GB"/>
        </w:rPr>
      </w:pPr>
      <w:r>
        <w:rPr>
          <w:lang w:val="en-ZA" w:eastAsia="en-GB"/>
        </w:rPr>
        <w:t xml:space="preserve">It is extremely difficult for MTN to undertake the task of valuing the spectrum in the ITA auction in these circumstances.  These challenges are exacerbated by the short amount of time between </w:t>
      </w:r>
      <w:r w:rsidRPr="00F80271">
        <w:rPr>
          <w:lang w:val="en-ZA" w:eastAsia="en-GB"/>
        </w:rPr>
        <w:t xml:space="preserve">the </w:t>
      </w:r>
      <w:r w:rsidR="00061CBD">
        <w:rPr>
          <w:lang w:val="en-ZA" w:eastAsia="en-GB"/>
        </w:rPr>
        <w:t>Opt-In</w:t>
      </w:r>
      <w:r w:rsidRPr="00F80271">
        <w:rPr>
          <w:lang w:val="en-ZA" w:eastAsia="en-GB"/>
        </w:rPr>
        <w:t xml:space="preserve"> </w:t>
      </w:r>
      <w:r w:rsidR="00061CBD">
        <w:rPr>
          <w:lang w:val="en-ZA" w:eastAsia="en-GB"/>
        </w:rPr>
        <w:t>R</w:t>
      </w:r>
      <w:r w:rsidRPr="00F80271">
        <w:rPr>
          <w:lang w:val="en-ZA" w:eastAsia="en-GB"/>
        </w:rPr>
        <w:t>ound</w:t>
      </w:r>
      <w:r>
        <w:rPr>
          <w:lang w:val="en-ZA" w:eastAsia="en-GB"/>
        </w:rPr>
        <w:t xml:space="preserve"> and the subsequent </w:t>
      </w:r>
      <w:r w:rsidR="00061CBD">
        <w:rPr>
          <w:lang w:val="en-ZA" w:eastAsia="en-GB"/>
        </w:rPr>
        <w:t>auction rounds</w:t>
      </w:r>
      <w:r>
        <w:rPr>
          <w:lang w:val="en-ZA" w:eastAsia="en-GB"/>
        </w:rPr>
        <w:t xml:space="preserve"> </w:t>
      </w:r>
      <w:r w:rsidR="00D43110">
        <w:rPr>
          <w:lang w:val="en-ZA" w:eastAsia="en-GB"/>
        </w:rPr>
        <w:t>in which</w:t>
      </w:r>
      <w:r>
        <w:rPr>
          <w:lang w:val="en-ZA" w:eastAsia="en-GB"/>
        </w:rPr>
        <w:t xml:space="preserve"> MTN will participate</w:t>
      </w:r>
      <w:r w:rsidRPr="00F80271">
        <w:rPr>
          <w:lang w:val="en-ZA" w:eastAsia="en-GB"/>
        </w:rPr>
        <w:t>.</w:t>
      </w:r>
    </w:p>
    <w:p w14:paraId="3199E840" w14:textId="77777777" w:rsidR="00970D01" w:rsidRDefault="00970D01" w:rsidP="00970D01">
      <w:pPr>
        <w:pStyle w:val="1"/>
      </w:pPr>
      <w:r>
        <w:t xml:space="preserve">Similarly, the uncertainty as to the possible outcomes of the Opt-In Auction round makes it almost impossible to develop a meaningful bidding strategy in advance of the auction.   </w:t>
      </w:r>
    </w:p>
    <w:p w14:paraId="71FCAEF0" w14:textId="79C20B1C" w:rsidR="00970D01" w:rsidRDefault="00970D01" w:rsidP="00970D01">
      <w:pPr>
        <w:pStyle w:val="1"/>
      </w:pPr>
      <w:r>
        <w:t>Formulating an auction bidding strategy is complex and time</w:t>
      </w:r>
      <w:r w:rsidR="00D43110">
        <w:t>-</w:t>
      </w:r>
      <w:r>
        <w:t xml:space="preserve">consuming in the context of a SMRA auction format with multiple Lots because spectrum Lots can be complementary or substitutes for each other. </w:t>
      </w:r>
      <w:r w:rsidR="004406F8">
        <w:t xml:space="preserve"> </w:t>
      </w:r>
      <w:r>
        <w:t>Developing an auction bidding strategy requires an understanding of what spectrum a bidder can bid for.</w:t>
      </w:r>
    </w:p>
    <w:p w14:paraId="03B6C557" w14:textId="18BC03C1" w:rsidR="00F80271" w:rsidRPr="00970D01" w:rsidRDefault="00970D01" w:rsidP="00970D01">
      <w:pPr>
        <w:pStyle w:val="1"/>
      </w:pPr>
      <w:r>
        <w:t xml:space="preserve">ICASA has suggested that the bidders must wait until the mock auction rounds, or potentially even after the opt-in round is completed for full information. </w:t>
      </w:r>
      <w:r w:rsidR="00F73DEE">
        <w:t xml:space="preserve"> </w:t>
      </w:r>
      <w:r>
        <w:t xml:space="preserve">In these circumstances, MTN will simply not have enough time to </w:t>
      </w:r>
      <w:r w:rsidR="009A63A8">
        <w:t>develop a bidding strategy, train the bid team, prepare any auction support tools and obtain the necessary approvals as part of MTN's governance process</w:t>
      </w:r>
      <w:r>
        <w:t>.</w:t>
      </w:r>
    </w:p>
    <w:p w14:paraId="22BFF54E" w14:textId="62737ECC" w:rsidR="00F80271" w:rsidRPr="006138D0" w:rsidRDefault="00970D01" w:rsidP="005E7BF6">
      <w:pPr>
        <w:pStyle w:val="1"/>
      </w:pPr>
      <w:r w:rsidRPr="00D43110">
        <w:rPr>
          <w:iCs w:val="0"/>
          <w:lang w:val="en-ZA" w:eastAsia="en-GB"/>
        </w:rPr>
        <w:lastRenderedPageBreak/>
        <w:t>It is vital that participating bidders in the ITA auction undertake the time-consuming and resource-intensive tasks of spectrum valuation, formulation of auction bidding strategy, bid team training and preparation of auction support tools.</w:t>
      </w:r>
      <w:r w:rsidR="00D43110" w:rsidRPr="00D43110">
        <w:rPr>
          <w:iCs w:val="0"/>
          <w:lang w:val="en-ZA" w:eastAsia="en-GB"/>
        </w:rPr>
        <w:t xml:space="preserve">  </w:t>
      </w:r>
      <w:r>
        <w:t>The uncertainty in the Opt-In round makes these task</w:t>
      </w:r>
      <w:r w:rsidR="005E7BF6">
        <w:t>s</w:t>
      </w:r>
      <w:r>
        <w:t xml:space="preserve"> </w:t>
      </w:r>
      <w:r w:rsidR="00D43110">
        <w:t>extremely</w:t>
      </w:r>
      <w:r>
        <w:t xml:space="preserve"> </w:t>
      </w:r>
      <w:proofErr w:type="gramStart"/>
      <w:r>
        <w:t>challenging, and</w:t>
      </w:r>
      <w:proofErr w:type="gramEnd"/>
      <w:r>
        <w:t xml:space="preserve"> require</w:t>
      </w:r>
      <w:r w:rsidR="00D43110">
        <w:t>s</w:t>
      </w:r>
      <w:r>
        <w:t xml:space="preserve"> MTN to proceed to the auction rounds in the dark about what may occur, and without the opportunity to properly prepare.  </w:t>
      </w:r>
    </w:p>
    <w:p w14:paraId="0BFA093A" w14:textId="04F244D3" w:rsidR="00C94275" w:rsidRDefault="004B0ACA">
      <w:pPr>
        <w:pStyle w:val="Heading2"/>
      </w:pPr>
      <w:bookmarkStart w:id="9" w:name="_Toc62222144"/>
      <w:r>
        <w:t xml:space="preserve">The </w:t>
      </w:r>
      <w:r w:rsidR="00E62348">
        <w:t>Operator Categorisation</w:t>
      </w:r>
      <w:bookmarkEnd w:id="9"/>
    </w:p>
    <w:p w14:paraId="4082F7C8" w14:textId="04A375B7" w:rsidR="00C94275" w:rsidRDefault="008F0C1F" w:rsidP="006E2522">
      <w:pPr>
        <w:pStyle w:val="1"/>
      </w:pPr>
      <w:r>
        <w:t>The ITA categorises bidders as follows:</w:t>
      </w:r>
    </w:p>
    <w:p w14:paraId="4BB00FC8" w14:textId="074A629B" w:rsidR="008F0C1F" w:rsidRPr="008F0C1F" w:rsidRDefault="008F0C1F" w:rsidP="001951A1">
      <w:pPr>
        <w:pStyle w:val="2"/>
      </w:pPr>
      <w:r w:rsidRPr="008F0C1F">
        <w:rPr>
          <w:u w:val="single"/>
        </w:rPr>
        <w:t>A Mobile Virtual Network Operator</w:t>
      </w:r>
      <w:r>
        <w:t xml:space="preserve"> </w:t>
      </w:r>
      <w:r w:rsidR="00710E11">
        <w:t xml:space="preserve">(MVNO) </w:t>
      </w:r>
      <w:r>
        <w:t xml:space="preserve">is a wireless communications services provider that does not own the wireless network infrastructure over which </w:t>
      </w:r>
      <w:r w:rsidR="00710E11">
        <w:t xml:space="preserve">it </w:t>
      </w:r>
      <w:r>
        <w:t>provides services to its customers.</w:t>
      </w:r>
    </w:p>
    <w:p w14:paraId="47A7C5BB" w14:textId="6319614D" w:rsidR="008F0C1F" w:rsidRDefault="00850D8C" w:rsidP="00DD38E2">
      <w:pPr>
        <w:pStyle w:val="2"/>
      </w:pPr>
      <w:r>
        <w:rPr>
          <w:u w:val="single"/>
        </w:rPr>
        <w:t xml:space="preserve">A </w:t>
      </w:r>
      <w:r w:rsidR="008F0C1F" w:rsidRPr="008F0C1F">
        <w:rPr>
          <w:u w:val="single"/>
        </w:rPr>
        <w:t>Sub-national operator</w:t>
      </w:r>
      <w:r w:rsidR="008F0C1F">
        <w:t xml:space="preserve"> </w:t>
      </w:r>
      <w:r>
        <w:t xml:space="preserve">is a </w:t>
      </w:r>
      <w:r w:rsidR="008F0C1F">
        <w:t xml:space="preserve">licensee that control access to its RAN and </w:t>
      </w:r>
      <w:proofErr w:type="gramStart"/>
      <w:r w:rsidR="008F0C1F">
        <w:t>is capable of providing</w:t>
      </w:r>
      <w:proofErr w:type="gramEnd"/>
      <w:r w:rsidR="008F0C1F">
        <w:t xml:space="preserve"> IMT services on a wholesale basis to roaming and MVNO customers, where the licensee’s RAN is capable of serving less than 50% of the population in South Africa.</w:t>
      </w:r>
    </w:p>
    <w:p w14:paraId="0DE7A9BA" w14:textId="47A945D3" w:rsidR="008F0C1F" w:rsidRDefault="008F0C1F" w:rsidP="00DD38E2">
      <w:pPr>
        <w:pStyle w:val="2"/>
      </w:pPr>
      <w:r>
        <w:t xml:space="preserve">A </w:t>
      </w:r>
      <w:r w:rsidRPr="008F0C1F">
        <w:rPr>
          <w:u w:val="single"/>
        </w:rPr>
        <w:t xml:space="preserve">Wholesale National </w:t>
      </w:r>
      <w:r>
        <w:rPr>
          <w:u w:val="single"/>
        </w:rPr>
        <w:t>O</w:t>
      </w:r>
      <w:r w:rsidRPr="008F0C1F">
        <w:rPr>
          <w:u w:val="single"/>
        </w:rPr>
        <w:t>perator is</w:t>
      </w:r>
      <w:r>
        <w:t xml:space="preserve"> a licensee that controls access to its RAN and </w:t>
      </w:r>
      <w:proofErr w:type="gramStart"/>
      <w:r>
        <w:t>is capable of providing</w:t>
      </w:r>
      <w:proofErr w:type="gramEnd"/>
      <w:r>
        <w:t xml:space="preserve"> IMT services on a wholesale basis to roaming and MVNO customers, where the licensee’s RAN is capable of serving more than 50% of the population in South Africa.  </w:t>
      </w:r>
    </w:p>
    <w:p w14:paraId="6A230484" w14:textId="7C572D20" w:rsidR="008F0C1F" w:rsidRDefault="008F0C1F">
      <w:pPr>
        <w:pStyle w:val="2"/>
      </w:pPr>
      <w:r w:rsidRPr="008F0C1F">
        <w:rPr>
          <w:u w:val="single"/>
        </w:rPr>
        <w:t>Tier-1 operators</w:t>
      </w:r>
      <w:r>
        <w:t xml:space="preserve"> are Wholesale National operators that have a retail market share in excess of 45% in more than 10 municipalities.</w:t>
      </w:r>
    </w:p>
    <w:p w14:paraId="53FCE0CD" w14:textId="24F188B8" w:rsidR="004653AB" w:rsidRDefault="008F0C1F">
      <w:pPr>
        <w:pStyle w:val="2"/>
      </w:pPr>
      <w:r w:rsidRPr="008F0C1F">
        <w:rPr>
          <w:u w:val="single"/>
        </w:rPr>
        <w:lastRenderedPageBreak/>
        <w:t>Tier-2 operators</w:t>
      </w:r>
      <w:r>
        <w:t xml:space="preserve"> are Wholesale National operators that have a retail market share below 45% in less than 10 municipalities.</w:t>
      </w:r>
    </w:p>
    <w:p w14:paraId="362232EF" w14:textId="6270BB5D" w:rsidR="00F71294" w:rsidRDefault="00FF57CC">
      <w:pPr>
        <w:pStyle w:val="1"/>
      </w:pPr>
      <w:r>
        <w:t xml:space="preserve">The ITA does not state which of the existing operators fall into each of these categories. </w:t>
      </w:r>
    </w:p>
    <w:p w14:paraId="5E749869" w14:textId="7C441D3B" w:rsidR="00850D8C" w:rsidRDefault="00EF6D14">
      <w:pPr>
        <w:pStyle w:val="1"/>
      </w:pPr>
      <w:r>
        <w:t xml:space="preserve">On a plain reading of the definitions of Tier 1 and Tier 2 operators, it </w:t>
      </w:r>
      <w:r w:rsidR="00850D8C">
        <w:t xml:space="preserve">is </w:t>
      </w:r>
      <w:r>
        <w:t xml:space="preserve">possible that a party </w:t>
      </w:r>
      <w:r w:rsidR="00103B78">
        <w:t xml:space="preserve">could </w:t>
      </w:r>
      <w:r>
        <w:t xml:space="preserve">simultaneously fall within </w:t>
      </w:r>
      <w:r w:rsidR="00457EEE">
        <w:t xml:space="preserve">the ambit of </w:t>
      </w:r>
      <w:r>
        <w:t>both definitions.</w:t>
      </w:r>
      <w:r w:rsidR="00850D8C" w:rsidRPr="00850D8C">
        <w:t xml:space="preserve"> </w:t>
      </w:r>
      <w:r w:rsidR="00850D8C">
        <w:t xml:space="preserve">That would be the case if a national operator has a retail market share in excess of 45% in (say) </w:t>
      </w:r>
      <w:r w:rsidR="00710E11">
        <w:t>twelve</w:t>
      </w:r>
      <w:r w:rsidR="00850D8C">
        <w:t xml:space="preserve"> municipalities </w:t>
      </w:r>
      <w:r w:rsidR="00850D8C" w:rsidRPr="00E344B9">
        <w:rPr>
          <w:u w:val="single"/>
        </w:rPr>
        <w:t>and</w:t>
      </w:r>
      <w:r w:rsidR="00850D8C">
        <w:t xml:space="preserve"> has a retail market share below 45% in (say) </w:t>
      </w:r>
      <w:r w:rsidR="00710E11">
        <w:t>eight</w:t>
      </w:r>
      <w:r w:rsidR="00850D8C">
        <w:t xml:space="preserve"> other municipalities.</w:t>
      </w:r>
    </w:p>
    <w:p w14:paraId="5699B822" w14:textId="20E1EBCD" w:rsidR="00EF6D14" w:rsidRDefault="005F15BC">
      <w:pPr>
        <w:pStyle w:val="1"/>
      </w:pPr>
      <w:r>
        <w:t>According to ICASA, t</w:t>
      </w:r>
      <w:r w:rsidR="00EF6D14">
        <w:t xml:space="preserve">here are </w:t>
      </w:r>
      <w:r w:rsidR="00AD486C">
        <w:t>234</w:t>
      </w:r>
      <w:r w:rsidR="00EF6D14">
        <w:t xml:space="preserve"> municipalities in South Africa.  It is possible for a Wholesale National operator to simultaneously have a retail market share in excess of 45% in more than 10 municipalities and, at the same time, </w:t>
      </w:r>
      <w:r w:rsidR="00103B78">
        <w:t xml:space="preserve">to </w:t>
      </w:r>
      <w:r w:rsidR="00EF6D14">
        <w:t>have a retail market share below 45% in other municipalities.</w:t>
      </w:r>
    </w:p>
    <w:p w14:paraId="61AF447D" w14:textId="7790BCA1" w:rsidR="00FF57CC" w:rsidRDefault="00FF57CC">
      <w:pPr>
        <w:pStyle w:val="1"/>
      </w:pPr>
      <w:r>
        <w:t xml:space="preserve">MTN, along with the other prospective bidders, addressed </w:t>
      </w:r>
      <w:proofErr w:type="gramStart"/>
      <w:r>
        <w:t>a number of</w:t>
      </w:r>
      <w:proofErr w:type="gramEnd"/>
      <w:r>
        <w:t xml:space="preserve"> queries to ICASA in respect of the Tier-1 and Tier-2 categorisations.  These are </w:t>
      </w:r>
      <w:r w:rsidR="000E3338">
        <w:t>included as Questions 14 to 22</w:t>
      </w:r>
      <w:r w:rsidR="008D1295">
        <w:t>, 29,</w:t>
      </w:r>
      <w:r w:rsidR="00A323CE">
        <w:t xml:space="preserve"> 31</w:t>
      </w:r>
      <w:r w:rsidR="00F400E9">
        <w:t xml:space="preserve">, </w:t>
      </w:r>
      <w:r w:rsidR="00327EEA">
        <w:t xml:space="preserve">and </w:t>
      </w:r>
      <w:r w:rsidR="00F400E9">
        <w:t>93</w:t>
      </w:r>
      <w:r w:rsidR="008D1295">
        <w:t xml:space="preserve"> </w:t>
      </w:r>
      <w:r w:rsidR="000E3338">
        <w:t xml:space="preserve">of the </w:t>
      </w:r>
      <w:r w:rsidR="00CA7889">
        <w:t xml:space="preserve">Response </w:t>
      </w:r>
      <w:proofErr w:type="gramStart"/>
      <w:r w:rsidR="000E3338">
        <w:t>Document .</w:t>
      </w:r>
      <w:proofErr w:type="gramEnd"/>
      <w:r w:rsidR="000E3338">
        <w:t xml:space="preserve"> </w:t>
      </w:r>
    </w:p>
    <w:p w14:paraId="2EA8ECC3" w14:textId="77777777" w:rsidR="005B5C6F" w:rsidRDefault="00FF57CC">
      <w:pPr>
        <w:pStyle w:val="1"/>
      </w:pPr>
      <w:r>
        <w:t>MTN asked ICASA</w:t>
      </w:r>
      <w:r w:rsidR="005B5C6F">
        <w:t>:</w:t>
      </w:r>
    </w:p>
    <w:p w14:paraId="7362800D" w14:textId="06A16799" w:rsidR="005B5C6F" w:rsidRDefault="00FF57CC">
      <w:pPr>
        <w:pStyle w:val="2"/>
      </w:pPr>
      <w:r>
        <w:t xml:space="preserve">which operators are to be designated as Tier-1 operators (Qu 14, </w:t>
      </w:r>
      <w:r w:rsidR="003435AC">
        <w:t xml:space="preserve">Response </w:t>
      </w:r>
      <w:r>
        <w:t>Document, p8)</w:t>
      </w:r>
      <w:r w:rsidR="00511C6E">
        <w:t>;</w:t>
      </w:r>
    </w:p>
    <w:p w14:paraId="794C753D" w14:textId="79101CD7" w:rsidR="005B5C6F" w:rsidRDefault="008D1295">
      <w:pPr>
        <w:pStyle w:val="2"/>
      </w:pPr>
      <w:r>
        <w:t xml:space="preserve">which operators are designated as the third and fourth national wholesale or Tier-2 operators (Qu 29, </w:t>
      </w:r>
      <w:r w:rsidR="003435AC">
        <w:t xml:space="preserve">Response </w:t>
      </w:r>
      <w:r>
        <w:t>Document, p13)</w:t>
      </w:r>
      <w:r w:rsidR="00511C6E">
        <w:t>;</w:t>
      </w:r>
    </w:p>
    <w:p w14:paraId="605FBC12" w14:textId="7A2F5026" w:rsidR="00FF57CC" w:rsidRDefault="002A5C0E">
      <w:pPr>
        <w:pStyle w:val="2"/>
      </w:pPr>
      <w:r>
        <w:lastRenderedPageBreak/>
        <w:t xml:space="preserve">whether it had already formed the view that MTN is a Tier-1 operator. (Qu 31, </w:t>
      </w:r>
      <w:r w:rsidR="003435AC">
        <w:t xml:space="preserve">Response </w:t>
      </w:r>
      <w:r>
        <w:t>Document, p13)</w:t>
      </w:r>
    </w:p>
    <w:p w14:paraId="5B1B06C8" w14:textId="0422BF50" w:rsidR="00FF57CC" w:rsidRDefault="002A5C0E">
      <w:pPr>
        <w:pStyle w:val="1"/>
      </w:pPr>
      <w:r>
        <w:t>In the main</w:t>
      </w:r>
      <w:r w:rsidR="00850D8C">
        <w:t>,</w:t>
      </w:r>
      <w:r>
        <w:t xml:space="preserve"> </w:t>
      </w:r>
      <w:r w:rsidR="00FF57CC">
        <w:t xml:space="preserve">ICASA </w:t>
      </w:r>
      <w:r w:rsidR="008D1295">
        <w:t>referred</w:t>
      </w:r>
      <w:r>
        <w:t xml:space="preserve"> MTN</w:t>
      </w:r>
      <w:r w:rsidR="008D1295">
        <w:t xml:space="preserve"> to the Reasons Document</w:t>
      </w:r>
      <w:r>
        <w:t xml:space="preserve"> or paragraph 6 of the ITA.  It provided a more substantive response to Question 1</w:t>
      </w:r>
      <w:r w:rsidR="00251EAC">
        <w:t>7</w:t>
      </w:r>
      <w:r w:rsidR="00511C6E">
        <w:t>, stating</w:t>
      </w:r>
      <w:r>
        <w:t>:</w:t>
      </w:r>
      <w:r w:rsidR="008D1295">
        <w:t xml:space="preserve"> </w:t>
      </w:r>
    </w:p>
    <w:p w14:paraId="5DD9EDAE" w14:textId="5485C622" w:rsidR="00FF57CC" w:rsidRDefault="00FF57CC" w:rsidP="003A1423">
      <w:pPr>
        <w:pStyle w:val="Quote"/>
      </w:pPr>
      <w:r>
        <w:t xml:space="preserve">“the Authority conducted a competition assessment prior to the publication of the ITA.  The competition assessment assessed the status pre-auction and post-auction of the ICT Sector.  The details are contained in the Reasons Document to be published. </w:t>
      </w:r>
    </w:p>
    <w:p w14:paraId="01A042CF" w14:textId="1BA4E39C" w:rsidR="008D1295" w:rsidRDefault="00FF57CC" w:rsidP="00B55A8A">
      <w:pPr>
        <w:pStyle w:val="Quote"/>
      </w:pPr>
      <w:proofErr w:type="gramStart"/>
      <w:r>
        <w:t>A number of</w:t>
      </w:r>
      <w:proofErr w:type="gramEnd"/>
      <w:r>
        <w:t xml:space="preserve"> licen</w:t>
      </w:r>
      <w:r w:rsidR="00511C6E">
        <w:t>s</w:t>
      </w:r>
      <w:r>
        <w:t>ees have significant market power in various municipalities, as measured using the dominance threshold applied in the Electronic Communications Act, 2005 (a 45% market share).  Vodacom is dominant in 110 municipalities, MTN is dominant in 78 municipalities.  MTN and Vodacom both have a share of 45% or more in 4 municipalities.  Cell C has a market share of 45% in one local municipality and 41 municipalities do not have a dominant operator.”</w:t>
      </w:r>
    </w:p>
    <w:p w14:paraId="2C6E7B3C" w14:textId="44121D21" w:rsidR="005B5C6F" w:rsidRPr="00A323CE" w:rsidRDefault="005B5C6F" w:rsidP="006E2522">
      <w:pPr>
        <w:pStyle w:val="1"/>
      </w:pPr>
      <w:r>
        <w:t>Later, ICASA stated in response to another query that it “</w:t>
      </w:r>
      <w:r w:rsidRPr="005B5C6F">
        <w:rPr>
          <w:i/>
        </w:rPr>
        <w:t>has already decided which operators are categorised as tier-1 operators</w:t>
      </w:r>
      <w:r>
        <w:t xml:space="preserve">.” (Ques 43, </w:t>
      </w:r>
      <w:r w:rsidR="003C1971">
        <w:t xml:space="preserve">Response </w:t>
      </w:r>
      <w:r>
        <w:t>Document, p20)</w:t>
      </w:r>
      <w:r w:rsidR="00F46CE7">
        <w:t xml:space="preserve">. </w:t>
      </w:r>
      <w:r w:rsidR="00DA52C9">
        <w:t>Indeed</w:t>
      </w:r>
      <w:r w:rsidR="00F46CE7">
        <w:t>, in response to MTN’s question, it confirmed:</w:t>
      </w:r>
    </w:p>
    <w:p w14:paraId="26FBB2C2" w14:textId="2D6B2044" w:rsidR="00A323CE" w:rsidRPr="003A1423" w:rsidRDefault="002A5C0E" w:rsidP="003A1423">
      <w:pPr>
        <w:pStyle w:val="Quote"/>
      </w:pPr>
      <w:r w:rsidRPr="003A1423">
        <w:t>“MTN and Vodacom are Tier</w:t>
      </w:r>
      <w:r w:rsidRPr="00B55A8A">
        <w:t xml:space="preserve">-1 Wholesale National Operators and Tier-2 (regarded as third and fourth national wholesale operators) are Cell </w:t>
      </w:r>
      <w:r w:rsidRPr="003A1423">
        <w:t xml:space="preserve">C and Telkom Mobile as per the competition assessment that the Authority has conducted. The Sub-national RAN operators who own RANS but operate only in </w:t>
      </w:r>
      <w:r w:rsidR="005B5C6F" w:rsidRPr="003A1423">
        <w:t>limited</w:t>
      </w:r>
      <w:r w:rsidRPr="003A1423">
        <w:t xml:space="preserve"> parts of South Africa include RAIN and Liquid Telecom.  The Reason</w:t>
      </w:r>
      <w:r w:rsidR="00A323CE" w:rsidRPr="003A1423">
        <w:t>s</w:t>
      </w:r>
      <w:r w:rsidRPr="003A1423">
        <w:t xml:space="preserve"> Document </w:t>
      </w:r>
      <w:r w:rsidRPr="003A1423">
        <w:lastRenderedPageBreak/>
        <w:t>will contain the competition assessment which will provide guidance as to how the Authority concluded in categorising the “mobile operators”.</w:t>
      </w:r>
      <w:r w:rsidR="00F46CE7" w:rsidRPr="003A1423">
        <w:t>”</w:t>
      </w:r>
    </w:p>
    <w:p w14:paraId="02E99BB8" w14:textId="099DB83C" w:rsidR="00A84EB0" w:rsidRDefault="00FF57CC" w:rsidP="006E2522">
      <w:pPr>
        <w:pStyle w:val="1"/>
      </w:pPr>
      <w:r>
        <w:t xml:space="preserve">Vodacom and Liquid asked ICASA to clarify how the “retail market share” in ten municipalities would be calculated. (Qu 17, </w:t>
      </w:r>
      <w:r w:rsidR="00527CC7">
        <w:t xml:space="preserve">Response </w:t>
      </w:r>
      <w:r>
        <w:t xml:space="preserve">Document, </w:t>
      </w:r>
      <w:r w:rsidR="00A51FEA">
        <w:t>p9</w:t>
      </w:r>
      <w:r>
        <w:t xml:space="preserve">). </w:t>
      </w:r>
      <w:r w:rsidR="007754B3">
        <w:t xml:space="preserve"> </w:t>
      </w:r>
      <w:r>
        <w:t xml:space="preserve">ICASA simply referred to the Reasons Document to be published. </w:t>
      </w:r>
      <w:r w:rsidR="00014A9A">
        <w:t xml:space="preserve"> </w:t>
      </w:r>
      <w:r w:rsidR="00850D8C">
        <w:t xml:space="preserve">However, the </w:t>
      </w:r>
      <w:r w:rsidR="00A84EB0">
        <w:t>competition assessment contained in the Reasons Document</w:t>
      </w:r>
      <w:r w:rsidR="00E62348">
        <w:t>:</w:t>
      </w:r>
    </w:p>
    <w:p w14:paraId="4FA1945B" w14:textId="0AAE1556" w:rsidR="00F46CE7" w:rsidRPr="00A84EB0" w:rsidRDefault="00F46CE7" w:rsidP="001951A1">
      <w:pPr>
        <w:pStyle w:val="2"/>
      </w:pPr>
      <w:r w:rsidRPr="00A84EB0">
        <w:t>does not answer how ICASA computed the market share;</w:t>
      </w:r>
    </w:p>
    <w:p w14:paraId="04C5391C" w14:textId="77777777" w:rsidR="00F46CE7" w:rsidRPr="00A84EB0" w:rsidRDefault="00F46CE7" w:rsidP="00DD38E2">
      <w:pPr>
        <w:pStyle w:val="2"/>
      </w:pPr>
      <w:r w:rsidRPr="00A84EB0">
        <w:t>does not answer the point at which market share is determined;</w:t>
      </w:r>
    </w:p>
    <w:p w14:paraId="1D2C96AE" w14:textId="77777777" w:rsidR="00F46CE7" w:rsidRPr="00A84EB0" w:rsidRDefault="00F46CE7" w:rsidP="00DD38E2">
      <w:pPr>
        <w:pStyle w:val="2"/>
      </w:pPr>
      <w:r w:rsidRPr="00A84EB0">
        <w:t>does not answer how ICASA arrived at the Tiering categorisations; and</w:t>
      </w:r>
    </w:p>
    <w:p w14:paraId="529D4AD4" w14:textId="6FC05D12" w:rsidR="00F46CE7" w:rsidRDefault="00F46CE7">
      <w:pPr>
        <w:pStyle w:val="2"/>
      </w:pPr>
      <w:r w:rsidRPr="00A84EB0">
        <w:t xml:space="preserve">does not </w:t>
      </w:r>
      <w:r w:rsidR="00103B78">
        <w:t xml:space="preserve">explain the position of </w:t>
      </w:r>
      <w:r w:rsidRPr="00A84EB0">
        <w:t xml:space="preserve">an operator who </w:t>
      </w:r>
      <w:r w:rsidR="00103B78">
        <w:t xml:space="preserve">has </w:t>
      </w:r>
      <w:r w:rsidRPr="00A84EB0">
        <w:t>above 45% market share in some municipalities and below 45% market share in others</w:t>
      </w:r>
      <w:r w:rsidR="00D365A4">
        <w:t>.</w:t>
      </w:r>
    </w:p>
    <w:p w14:paraId="49FA4D90" w14:textId="01799D6C" w:rsidR="00D365A4" w:rsidRPr="00DA52C9" w:rsidRDefault="002E28BE">
      <w:pPr>
        <w:pStyle w:val="1"/>
      </w:pPr>
      <w:r>
        <w:t xml:space="preserve">The rationale and basis for the Tier-1 and Tier-2 distinction does not appear from </w:t>
      </w:r>
      <w:r w:rsidRPr="00DA52C9">
        <w:t xml:space="preserve">the ITA, the Response Document or the Reasons Document. </w:t>
      </w:r>
    </w:p>
    <w:p w14:paraId="485CBCED" w14:textId="03D454DE" w:rsidR="00614EBE" w:rsidRPr="00E344B9" w:rsidRDefault="002E28BE">
      <w:pPr>
        <w:pStyle w:val="1"/>
      </w:pPr>
      <w:r w:rsidRPr="00DA52C9">
        <w:t>It appears that the categorisation has</w:t>
      </w:r>
      <w:r w:rsidR="00F741F9">
        <w:t xml:space="preserve"> simply</w:t>
      </w:r>
      <w:r w:rsidRPr="00DA52C9">
        <w:t xml:space="preserve"> been taken from </w:t>
      </w:r>
      <w:r w:rsidR="00CB642C" w:rsidRPr="00DA52C9">
        <w:t>ICASA’s</w:t>
      </w:r>
      <w:r w:rsidRPr="00DA52C9">
        <w:t xml:space="preserve"> </w:t>
      </w:r>
      <w:r w:rsidRPr="00DA52C9">
        <w:rPr>
          <w:lang w:val="en-US"/>
        </w:rPr>
        <w:t>Market Inquiry into Mobile Broadband Services</w:t>
      </w:r>
      <w:r w:rsidR="00CB642C" w:rsidRPr="00DA52C9">
        <w:rPr>
          <w:lang w:val="en-US"/>
        </w:rPr>
        <w:t xml:space="preserve"> </w:t>
      </w:r>
      <w:r w:rsidR="001A7D88" w:rsidRPr="00DA52C9">
        <w:rPr>
          <w:lang w:val="en-US"/>
        </w:rPr>
        <w:t>initiated by the Notice of intention to Conduct Market Inquiry into Mobile Broadband Services 713 of 2018 in Government Gazette 42044</w:t>
      </w:r>
      <w:r w:rsidR="00310100" w:rsidRPr="00DA52C9">
        <w:rPr>
          <w:lang w:val="en-US"/>
        </w:rPr>
        <w:t xml:space="preserve"> published on 16 November 2018</w:t>
      </w:r>
      <w:r w:rsidR="00B67EA3">
        <w:rPr>
          <w:lang w:val="en-US"/>
        </w:rPr>
        <w:t xml:space="preserve">, annexed marked </w:t>
      </w:r>
      <w:r w:rsidR="007B5C94">
        <w:rPr>
          <w:b/>
          <w:bCs/>
        </w:rPr>
        <w:t>MMM</w:t>
      </w:r>
      <w:r w:rsidR="007F12A0">
        <w:rPr>
          <w:b/>
          <w:bCs/>
        </w:rPr>
        <w:t>15</w:t>
      </w:r>
      <w:r w:rsidR="00E62348">
        <w:rPr>
          <w:lang w:val="en-US"/>
        </w:rPr>
        <w:t xml:space="preserve"> (“</w:t>
      </w:r>
      <w:r w:rsidR="00E62348" w:rsidRPr="00E344B9">
        <w:rPr>
          <w:b/>
          <w:bCs/>
          <w:lang w:val="en-US"/>
        </w:rPr>
        <w:t>The Market Inquiry</w:t>
      </w:r>
      <w:r w:rsidR="00E62348">
        <w:rPr>
          <w:lang w:val="en-US"/>
        </w:rPr>
        <w:t xml:space="preserve">”).  </w:t>
      </w:r>
      <w:r w:rsidR="00614EBE">
        <w:rPr>
          <w:lang w:val="en-US"/>
        </w:rPr>
        <w:t xml:space="preserve">I elaborate on this </w:t>
      </w:r>
      <w:r w:rsidR="003C32CE">
        <w:rPr>
          <w:lang w:val="en-US"/>
        </w:rPr>
        <w:t>in the next section</w:t>
      </w:r>
      <w:r w:rsidR="00614EBE">
        <w:rPr>
          <w:lang w:val="en-US"/>
        </w:rPr>
        <w:t>.</w:t>
      </w:r>
    </w:p>
    <w:p w14:paraId="28C8BA33" w14:textId="39D313CE" w:rsidR="00614EBE" w:rsidRDefault="00614EBE">
      <w:pPr>
        <w:pStyle w:val="Heading2"/>
      </w:pPr>
      <w:bookmarkStart w:id="10" w:name="_Toc62222145"/>
      <w:r>
        <w:lastRenderedPageBreak/>
        <w:t>The Market Inquiry</w:t>
      </w:r>
      <w:bookmarkEnd w:id="10"/>
    </w:p>
    <w:p w14:paraId="39F4BEF9" w14:textId="168F9F3D" w:rsidR="00CB642C" w:rsidRDefault="004F0D04" w:rsidP="001951A1">
      <w:pPr>
        <w:pStyle w:val="1"/>
      </w:pPr>
      <w:r>
        <w:t xml:space="preserve">The purpose of </w:t>
      </w:r>
      <w:r w:rsidR="00E62348">
        <w:t>the Market I</w:t>
      </w:r>
      <w:r>
        <w:t xml:space="preserve">nquiry is to assess the state of competition and </w:t>
      </w:r>
      <w:r w:rsidR="003C32CE">
        <w:t xml:space="preserve">to </w:t>
      </w:r>
      <w:r>
        <w:t xml:space="preserve">determine whether or not there are markets or market segments within the mobile broadband services value chain </w:t>
      </w:r>
      <w:r w:rsidR="00ED568D">
        <w:t xml:space="preserve">that </w:t>
      </w:r>
      <w:r>
        <w:t>may warrant regulation in the context of a market review in terms of section 67(4) of the ECA.</w:t>
      </w:r>
    </w:p>
    <w:p w14:paraId="3198D96E" w14:textId="38925886" w:rsidR="002E28BE" w:rsidRPr="00334938" w:rsidRDefault="00E62348" w:rsidP="001951A1">
      <w:pPr>
        <w:pStyle w:val="1"/>
      </w:pPr>
      <w:r w:rsidRPr="00E62348">
        <w:rPr>
          <w:lang w:val="en-US"/>
        </w:rPr>
        <w:t>The Market I</w:t>
      </w:r>
      <w:r w:rsidR="002E28BE" w:rsidRPr="00E62348">
        <w:rPr>
          <w:lang w:val="en-US"/>
        </w:rPr>
        <w:t>nquiry is not yet complete.</w:t>
      </w:r>
      <w:r w:rsidR="00310100" w:rsidRPr="00DA52C9">
        <w:t xml:space="preserve"> </w:t>
      </w:r>
      <w:r w:rsidR="00EC63F6">
        <w:t xml:space="preserve"> </w:t>
      </w:r>
      <w:r w:rsidR="00C05EB2" w:rsidRPr="00E62348">
        <w:rPr>
          <w:lang w:val="en-US"/>
        </w:rPr>
        <w:t>T</w:t>
      </w:r>
      <w:r w:rsidR="001A7D88" w:rsidRPr="00E62348">
        <w:rPr>
          <w:lang w:val="en-US"/>
        </w:rPr>
        <w:t>he Notice</w:t>
      </w:r>
      <w:r w:rsidR="00A159C5" w:rsidRPr="00E62348">
        <w:rPr>
          <w:lang w:val="en-US"/>
        </w:rPr>
        <w:t xml:space="preserve">, annexed </w:t>
      </w:r>
      <w:r w:rsidR="000D38A3">
        <w:rPr>
          <w:lang w:val="en-US"/>
        </w:rPr>
        <w:t xml:space="preserve">hereto </w:t>
      </w:r>
      <w:r w:rsidR="00A159C5" w:rsidRPr="00E62348">
        <w:rPr>
          <w:lang w:val="en-US"/>
        </w:rPr>
        <w:t xml:space="preserve">marked </w:t>
      </w:r>
      <w:r w:rsidR="007B5C94" w:rsidRPr="00E62348">
        <w:rPr>
          <w:b/>
          <w:bCs/>
        </w:rPr>
        <w:t>MMM</w:t>
      </w:r>
      <w:r w:rsidR="00FA5456">
        <w:rPr>
          <w:b/>
          <w:bCs/>
        </w:rPr>
        <w:t>15</w:t>
      </w:r>
      <w:r w:rsidR="00A159C5" w:rsidRPr="00E62348">
        <w:rPr>
          <w:lang w:val="en-US"/>
        </w:rPr>
        <w:t>,</w:t>
      </w:r>
      <w:r w:rsidR="00C05EB2" w:rsidRPr="00E62348">
        <w:rPr>
          <w:lang w:val="en-US"/>
        </w:rPr>
        <w:t xml:space="preserve"> sets out the five Phases for the </w:t>
      </w:r>
      <w:r w:rsidRPr="00E62348">
        <w:rPr>
          <w:lang w:val="en-US"/>
        </w:rPr>
        <w:t>Market Inquiry</w:t>
      </w:r>
      <w:r w:rsidR="00C05EB2" w:rsidRPr="00E62348">
        <w:rPr>
          <w:lang w:val="en-US"/>
        </w:rPr>
        <w:t xml:space="preserve">.  </w:t>
      </w:r>
      <w:r w:rsidR="00CF208C" w:rsidRPr="00E62348">
        <w:rPr>
          <w:lang w:val="en-US"/>
        </w:rPr>
        <w:t xml:space="preserve">At present, only phases 1 to </w:t>
      </w:r>
      <w:r w:rsidR="00CF208C" w:rsidRPr="00334938">
        <w:rPr>
          <w:lang w:val="en-US"/>
        </w:rPr>
        <w:t>3 have been completed</w:t>
      </w:r>
      <w:r w:rsidRPr="00334938">
        <w:rPr>
          <w:lang w:val="en-US"/>
        </w:rPr>
        <w:t>:</w:t>
      </w:r>
    </w:p>
    <w:p w14:paraId="70CE79A3" w14:textId="364A22A5" w:rsidR="002E28BE" w:rsidRPr="00334938" w:rsidRDefault="00EB0915" w:rsidP="001951A1">
      <w:pPr>
        <w:pStyle w:val="2"/>
      </w:pPr>
      <w:r w:rsidRPr="00334938">
        <w:rPr>
          <w:lang w:val="en-US"/>
        </w:rPr>
        <w:t xml:space="preserve">As part of Phase 2, </w:t>
      </w:r>
      <w:r w:rsidR="004F0D04" w:rsidRPr="00334938">
        <w:rPr>
          <w:lang w:val="en-US"/>
        </w:rPr>
        <w:t xml:space="preserve">ICASA published </w:t>
      </w:r>
      <w:r w:rsidR="003C32CE" w:rsidRPr="00334938">
        <w:rPr>
          <w:lang w:val="en-US"/>
        </w:rPr>
        <w:t xml:space="preserve">a </w:t>
      </w:r>
      <w:r w:rsidR="002E28BE" w:rsidRPr="00334938">
        <w:rPr>
          <w:lang w:val="en-US"/>
        </w:rPr>
        <w:t xml:space="preserve">Discussion Document on 02 December 2019 in </w:t>
      </w:r>
      <w:r w:rsidR="002E28BE" w:rsidRPr="00334938">
        <w:rPr>
          <w:i/>
          <w:lang w:val="en-US"/>
        </w:rPr>
        <w:t xml:space="preserve">Government Gazette </w:t>
      </w:r>
      <w:r w:rsidR="002E28BE" w:rsidRPr="00334938">
        <w:rPr>
          <w:lang w:val="en-US"/>
        </w:rPr>
        <w:t>42878.</w:t>
      </w:r>
      <w:r w:rsidR="00140C60" w:rsidRPr="00334938">
        <w:rPr>
          <w:lang w:val="en-US"/>
        </w:rPr>
        <w:t xml:space="preserve"> </w:t>
      </w:r>
      <w:r w:rsidR="00413512" w:rsidRPr="00334938">
        <w:rPr>
          <w:lang w:val="en-US"/>
        </w:rPr>
        <w:t xml:space="preserve"> </w:t>
      </w:r>
      <w:r w:rsidR="00992D1C" w:rsidRPr="00334938">
        <w:rPr>
          <w:lang w:val="en-US"/>
        </w:rPr>
        <w:t xml:space="preserve">A copy of the relevant extracts </w:t>
      </w:r>
      <w:r w:rsidR="000D38A3">
        <w:rPr>
          <w:lang w:val="en-US"/>
        </w:rPr>
        <w:t>of</w:t>
      </w:r>
      <w:r w:rsidR="00992D1C" w:rsidRPr="00334938">
        <w:rPr>
          <w:lang w:val="en-US"/>
        </w:rPr>
        <w:t xml:space="preserve"> the Discussion Document is annexed hereto marked </w:t>
      </w:r>
      <w:r w:rsidR="00992D1C" w:rsidRPr="00334938">
        <w:rPr>
          <w:b/>
          <w:bCs/>
          <w:lang w:val="en-US"/>
        </w:rPr>
        <w:t>MMM16</w:t>
      </w:r>
      <w:r w:rsidR="00992D1C" w:rsidRPr="00334938">
        <w:rPr>
          <w:lang w:val="en-US"/>
        </w:rPr>
        <w:t>.</w:t>
      </w:r>
    </w:p>
    <w:p w14:paraId="53FDD0C7" w14:textId="5EE31D32" w:rsidR="002E28BE" w:rsidRPr="003C32CE" w:rsidRDefault="002E28BE" w:rsidP="00DD38E2">
      <w:pPr>
        <w:pStyle w:val="2"/>
        <w:rPr>
          <w:lang w:val="en-US"/>
        </w:rPr>
      </w:pPr>
      <w:r w:rsidRPr="003C32CE">
        <w:rPr>
          <w:lang w:val="en-US"/>
        </w:rPr>
        <w:t xml:space="preserve">The due date for submission of public comments was set at 45 working days from date of publication of Discussion Document – </w:t>
      </w:r>
      <w:r w:rsidR="003C32CE">
        <w:rPr>
          <w:lang w:val="en-US"/>
        </w:rPr>
        <w:t xml:space="preserve">i.e. </w:t>
      </w:r>
      <w:r w:rsidRPr="003C32CE">
        <w:rPr>
          <w:lang w:val="en-US"/>
        </w:rPr>
        <w:t>6 February 2020</w:t>
      </w:r>
      <w:r w:rsidR="00CF208C" w:rsidRPr="003C32CE">
        <w:rPr>
          <w:lang w:val="en-US"/>
        </w:rPr>
        <w:t xml:space="preserve"> </w:t>
      </w:r>
      <w:r w:rsidR="003C32CE" w:rsidRPr="003C32CE">
        <w:rPr>
          <w:lang w:val="en-US"/>
        </w:rPr>
        <w:t>–</w:t>
      </w:r>
      <w:r w:rsidR="00CF208C" w:rsidRPr="003C32CE">
        <w:rPr>
          <w:lang w:val="en-US"/>
        </w:rPr>
        <w:t xml:space="preserve">but was extended </w:t>
      </w:r>
      <w:r w:rsidRPr="003C32CE">
        <w:rPr>
          <w:lang w:val="en-US"/>
        </w:rPr>
        <w:t xml:space="preserve">by notice in </w:t>
      </w:r>
      <w:r w:rsidRPr="003C32CE">
        <w:rPr>
          <w:i/>
          <w:lang w:val="en-US"/>
        </w:rPr>
        <w:t xml:space="preserve">Government Gazette </w:t>
      </w:r>
      <w:r w:rsidRPr="003C32CE">
        <w:rPr>
          <w:lang w:val="en-US"/>
        </w:rPr>
        <w:t>42941 to 27 February 2020.</w:t>
      </w:r>
      <w:r w:rsidR="00CF208C" w:rsidRPr="003C32CE">
        <w:rPr>
          <w:lang w:val="en-US"/>
        </w:rPr>
        <w:t xml:space="preserve">  </w:t>
      </w:r>
      <w:r w:rsidRPr="003C32CE">
        <w:rPr>
          <w:lang w:val="en-US"/>
        </w:rPr>
        <w:t>MTN submitted comments on the Discussion Document on 27 February 2020</w:t>
      </w:r>
      <w:r w:rsidR="00366652" w:rsidRPr="003C32CE">
        <w:rPr>
          <w:lang w:val="en-US"/>
        </w:rPr>
        <w:t>.</w:t>
      </w:r>
    </w:p>
    <w:p w14:paraId="3BD54F15" w14:textId="22FE644A" w:rsidR="00366652" w:rsidRPr="00CF208C" w:rsidRDefault="00EB0915" w:rsidP="00DD38E2">
      <w:pPr>
        <w:pStyle w:val="2"/>
        <w:rPr>
          <w:lang w:val="en-US"/>
        </w:rPr>
      </w:pPr>
      <w:r>
        <w:rPr>
          <w:lang w:val="en-US"/>
        </w:rPr>
        <w:t>Phase 3 p</w:t>
      </w:r>
      <w:r w:rsidR="00366652">
        <w:rPr>
          <w:lang w:val="en-US"/>
        </w:rPr>
        <w:t xml:space="preserve">ublic hearings </w:t>
      </w:r>
      <w:r w:rsidR="00CF208C">
        <w:rPr>
          <w:lang w:val="en-US"/>
        </w:rPr>
        <w:t xml:space="preserve">on the Discussion Document </w:t>
      </w:r>
      <w:r w:rsidR="00366652">
        <w:rPr>
          <w:lang w:val="en-US"/>
        </w:rPr>
        <w:t>took place on 26 and 27 October 2020.</w:t>
      </w:r>
      <w:r w:rsidR="00CF208C">
        <w:rPr>
          <w:lang w:val="en-US"/>
        </w:rPr>
        <w:t xml:space="preserve">  </w:t>
      </w:r>
      <w:r w:rsidR="00366652" w:rsidRPr="00CF208C">
        <w:rPr>
          <w:lang w:val="en-US"/>
        </w:rPr>
        <w:t>MTN presented on 27 October 2020</w:t>
      </w:r>
      <w:r w:rsidR="00366652" w:rsidRPr="00DA52C9">
        <w:rPr>
          <w:lang w:val="en-US"/>
        </w:rPr>
        <w:t>.</w:t>
      </w:r>
      <w:r w:rsidR="00310100" w:rsidRPr="00DA52C9">
        <w:rPr>
          <w:lang w:val="en-US"/>
        </w:rPr>
        <w:t xml:space="preserve">  </w:t>
      </w:r>
      <w:r w:rsidR="00310100" w:rsidRPr="00DA52C9">
        <w:t xml:space="preserve">It is noteworthy that </w:t>
      </w:r>
      <w:r w:rsidR="00E62348">
        <w:t xml:space="preserve">by then </w:t>
      </w:r>
      <w:r w:rsidR="00310100" w:rsidRPr="00DA52C9">
        <w:t xml:space="preserve">the ITA </w:t>
      </w:r>
      <w:r w:rsidR="00E62348">
        <w:t xml:space="preserve">had already been published </w:t>
      </w:r>
      <w:r w:rsidR="00F741F9">
        <w:t>(</w:t>
      </w:r>
      <w:r w:rsidR="00E62348">
        <w:t>on 2 October 2020</w:t>
      </w:r>
      <w:r w:rsidR="00F741F9">
        <w:t>)</w:t>
      </w:r>
      <w:r w:rsidR="00E62348">
        <w:t xml:space="preserve"> and </w:t>
      </w:r>
      <w:r w:rsidR="00F741F9">
        <w:t xml:space="preserve">that </w:t>
      </w:r>
      <w:r w:rsidR="00E62348">
        <w:t xml:space="preserve">it </w:t>
      </w:r>
      <w:r w:rsidR="00310100" w:rsidRPr="00DA52C9">
        <w:t>categorised MTN as a Tier-1 operator.</w:t>
      </w:r>
    </w:p>
    <w:p w14:paraId="7FC31444" w14:textId="0A604DFC" w:rsidR="00366652" w:rsidRDefault="00EB0915">
      <w:pPr>
        <w:pStyle w:val="1"/>
      </w:pPr>
      <w:r>
        <w:rPr>
          <w:lang w:val="en-US"/>
        </w:rPr>
        <w:t xml:space="preserve">Phases 4 and 5 remain in </w:t>
      </w:r>
      <w:r w:rsidR="00F80A9E">
        <w:rPr>
          <w:lang w:val="en-US"/>
        </w:rPr>
        <w:t>process.</w:t>
      </w:r>
      <w:r>
        <w:rPr>
          <w:lang w:val="en-US"/>
        </w:rPr>
        <w:t xml:space="preserve">  The Notice </w:t>
      </w:r>
      <w:r w:rsidR="00366652">
        <w:t>envisage</w:t>
      </w:r>
      <w:r w:rsidR="000D4965">
        <w:t>d</w:t>
      </w:r>
      <w:r w:rsidR="00366652">
        <w:t xml:space="preserve"> that</w:t>
      </w:r>
      <w:r w:rsidR="000D4965">
        <w:t>:</w:t>
      </w:r>
    </w:p>
    <w:p w14:paraId="0F9B56D6" w14:textId="72B22FD7" w:rsidR="00366652" w:rsidRPr="00366652" w:rsidRDefault="00CF208C">
      <w:pPr>
        <w:pStyle w:val="2"/>
      </w:pPr>
      <w:r w:rsidRPr="00CF208C">
        <w:rPr>
          <w:lang w:val="en-US"/>
        </w:rPr>
        <w:lastRenderedPageBreak/>
        <w:t xml:space="preserve">Under Phase 4 of the Market Inquiry, </w:t>
      </w:r>
      <w:r w:rsidR="00366652" w:rsidRPr="00CF208C">
        <w:rPr>
          <w:lang w:val="en-US"/>
        </w:rPr>
        <w:t xml:space="preserve">ICASA </w:t>
      </w:r>
      <w:r w:rsidRPr="00CF208C">
        <w:rPr>
          <w:lang w:val="en-US"/>
        </w:rPr>
        <w:t>will</w:t>
      </w:r>
      <w:r w:rsidR="00366652" w:rsidRPr="00CF208C">
        <w:rPr>
          <w:lang w:val="en-US"/>
        </w:rPr>
        <w:t xml:space="preserve"> publish in the </w:t>
      </w:r>
      <w:r w:rsidR="00366652" w:rsidRPr="00CF208C">
        <w:rPr>
          <w:i/>
          <w:lang w:val="en-US"/>
        </w:rPr>
        <w:t>Government Gazette</w:t>
      </w:r>
      <w:r w:rsidR="00366652" w:rsidRPr="00CF208C">
        <w:rPr>
          <w:lang w:val="en-US"/>
        </w:rPr>
        <w:t xml:space="preserve"> a summary of its findings in relation to the inquiry</w:t>
      </w:r>
      <w:r w:rsidRPr="00CF208C">
        <w:rPr>
          <w:lang w:val="en-US"/>
        </w:rPr>
        <w:t xml:space="preserve"> as well as </w:t>
      </w:r>
      <w:r w:rsidR="00366652" w:rsidRPr="00CF208C">
        <w:rPr>
          <w:lang w:val="en-US"/>
        </w:rPr>
        <w:t>draft regulations for public comment for a period of 30 working days</w:t>
      </w:r>
      <w:r w:rsidR="00E62348">
        <w:rPr>
          <w:lang w:val="en-US"/>
        </w:rPr>
        <w:t>.</w:t>
      </w:r>
    </w:p>
    <w:p w14:paraId="3C0DDEE5" w14:textId="7C5E13A9" w:rsidR="00366652" w:rsidRPr="00366652" w:rsidRDefault="00CF208C">
      <w:pPr>
        <w:pStyle w:val="2"/>
      </w:pPr>
      <w:r>
        <w:rPr>
          <w:lang w:val="en-US"/>
        </w:rPr>
        <w:t xml:space="preserve">Under Phase 5 of the Market Inquiry, </w:t>
      </w:r>
      <w:r w:rsidR="00366652">
        <w:rPr>
          <w:lang w:val="en-US"/>
        </w:rPr>
        <w:t xml:space="preserve">ICASA </w:t>
      </w:r>
      <w:r>
        <w:rPr>
          <w:lang w:val="en-US"/>
        </w:rPr>
        <w:t>may</w:t>
      </w:r>
      <w:r w:rsidR="00366652">
        <w:rPr>
          <w:lang w:val="en-US"/>
        </w:rPr>
        <w:t xml:space="preserve"> hold public hearings on responses to draft regulations.</w:t>
      </w:r>
    </w:p>
    <w:p w14:paraId="712A8E5C" w14:textId="551FE730" w:rsidR="00310100" w:rsidRPr="00310100" w:rsidRDefault="00CF208C">
      <w:pPr>
        <w:pStyle w:val="2"/>
      </w:pPr>
      <w:r>
        <w:rPr>
          <w:lang w:val="en-US"/>
        </w:rPr>
        <w:t>Under Phase 6, a</w:t>
      </w:r>
      <w:r w:rsidR="00366652">
        <w:rPr>
          <w:lang w:val="en-US"/>
        </w:rPr>
        <w:t>fter consideration of responses to draft regulations, ICASA to publish final regulations and reason</w:t>
      </w:r>
      <w:r w:rsidR="000D38A3">
        <w:rPr>
          <w:lang w:val="en-US"/>
        </w:rPr>
        <w:t>s</w:t>
      </w:r>
      <w:r w:rsidR="00366652">
        <w:rPr>
          <w:lang w:val="en-US"/>
        </w:rPr>
        <w:t xml:space="preserve"> document in the </w:t>
      </w:r>
      <w:r w:rsidR="00366652">
        <w:rPr>
          <w:i/>
          <w:lang w:val="en-US"/>
        </w:rPr>
        <w:t>Government Gazette</w:t>
      </w:r>
      <w:r w:rsidR="00366652">
        <w:rPr>
          <w:lang w:val="en-US"/>
        </w:rPr>
        <w:t>.</w:t>
      </w:r>
    </w:p>
    <w:p w14:paraId="57CB5EAD" w14:textId="3FC9ECB7" w:rsidR="00310100" w:rsidRDefault="00310100">
      <w:pPr>
        <w:pStyle w:val="1"/>
      </w:pPr>
      <w:r w:rsidRPr="007A780D">
        <w:t xml:space="preserve">It is apparent from ICASA’s responses and </w:t>
      </w:r>
      <w:r w:rsidR="00E62348">
        <w:t xml:space="preserve">the </w:t>
      </w:r>
      <w:r w:rsidR="00512355">
        <w:t>R</w:t>
      </w:r>
      <w:r w:rsidRPr="007A780D">
        <w:t xml:space="preserve">easons </w:t>
      </w:r>
      <w:r w:rsidR="00512355">
        <w:t>D</w:t>
      </w:r>
      <w:r w:rsidRPr="007A780D">
        <w:t xml:space="preserve">ocument that the categorisation of operators into Tier-1 and Tier-2 </w:t>
      </w:r>
      <w:r w:rsidR="00F741F9">
        <w:t>was imported into the ITA fr</w:t>
      </w:r>
      <w:r w:rsidRPr="007A780D">
        <w:t xml:space="preserve">om the Market Inquiry </w:t>
      </w:r>
      <w:r w:rsidR="00F741F9">
        <w:t xml:space="preserve">process.  Remarkably, this occurred </w:t>
      </w:r>
      <w:r w:rsidR="00F741F9" w:rsidRPr="00E344B9">
        <w:rPr>
          <w:u w:val="single"/>
        </w:rPr>
        <w:t>b</w:t>
      </w:r>
      <w:r w:rsidR="007A780D" w:rsidRPr="00E344B9">
        <w:rPr>
          <w:u w:val="single"/>
        </w:rPr>
        <w:t>efore</w:t>
      </w:r>
      <w:r w:rsidR="007A780D" w:rsidRPr="007A780D">
        <w:t xml:space="preserve"> ICASA </w:t>
      </w:r>
      <w:r w:rsidR="007721B8">
        <w:t xml:space="preserve">had </w:t>
      </w:r>
      <w:r w:rsidR="007A780D" w:rsidRPr="007A780D">
        <w:t>heard and considered the representations at the oral hearings</w:t>
      </w:r>
      <w:r w:rsidR="007721B8">
        <w:t xml:space="preserve"> in the Market Inquiry</w:t>
      </w:r>
      <w:r w:rsidR="007A780D" w:rsidRPr="007A780D">
        <w:t xml:space="preserve">, and </w:t>
      </w:r>
      <w:r w:rsidR="007A780D" w:rsidRPr="00E344B9">
        <w:rPr>
          <w:u w:val="single"/>
        </w:rPr>
        <w:t>before</w:t>
      </w:r>
      <w:r w:rsidR="007A780D" w:rsidRPr="007A780D">
        <w:t xml:space="preserve"> the Market Inquiry </w:t>
      </w:r>
      <w:r w:rsidR="00ED568D">
        <w:t>had</w:t>
      </w:r>
      <w:r w:rsidR="00E62348">
        <w:t xml:space="preserve"> been</w:t>
      </w:r>
      <w:r w:rsidR="00E62348" w:rsidRPr="007A780D">
        <w:t xml:space="preserve"> </w:t>
      </w:r>
      <w:r w:rsidR="007A780D" w:rsidRPr="007A780D">
        <w:t xml:space="preserve">finalised. </w:t>
      </w:r>
    </w:p>
    <w:p w14:paraId="35F4A3C0" w14:textId="27AE8E01" w:rsidR="00F060AB" w:rsidRDefault="00F060AB">
      <w:pPr>
        <w:pStyle w:val="1"/>
      </w:pPr>
      <w:r>
        <w:t xml:space="preserve">The Market Inquiry is a substantial undertaking involving a wide range of complex issues and multiple interested parties. </w:t>
      </w:r>
      <w:r w:rsidR="006A3371">
        <w:t xml:space="preserve"> </w:t>
      </w:r>
      <w:r>
        <w:t>Section 67(4)(a) requires that ICASA include in its inquiry pursuant to any regulations, the definition</w:t>
      </w:r>
      <w:r w:rsidR="00354B75">
        <w:t xml:space="preserve"> of</w:t>
      </w:r>
      <w:r>
        <w:t xml:space="preserve"> the relevant wholesale and retail markets or market segments. </w:t>
      </w:r>
      <w:r w:rsidR="008A4AB8">
        <w:t xml:space="preserve"> </w:t>
      </w:r>
      <w:r>
        <w:t>The determination of the markets for mobile services remains an area of contention</w:t>
      </w:r>
      <w:r w:rsidR="00E62348">
        <w:t>.</w:t>
      </w:r>
    </w:p>
    <w:p w14:paraId="73311824" w14:textId="71E1698E" w:rsidR="00C11D3A" w:rsidRDefault="00F060AB">
      <w:pPr>
        <w:pStyle w:val="1"/>
      </w:pPr>
      <w:r>
        <w:t xml:space="preserve">In its preliminary analysis set out in the Discussion Document, ICASA </w:t>
      </w:r>
      <w:r w:rsidR="00C11D3A">
        <w:t xml:space="preserve">began this inquiry using </w:t>
      </w:r>
      <w:r w:rsidR="00E62348">
        <w:t xml:space="preserve">a </w:t>
      </w:r>
      <w:r w:rsidR="00C11D3A">
        <w:t>very narrow geographic area of local and metropolitan municipalities for the determination of the retail market</w:t>
      </w:r>
      <w:r>
        <w:t>. (Discussion Document, para 1.3.1</w:t>
      </w:r>
      <w:r w:rsidR="00C11D3A">
        <w:t>; para 31</w:t>
      </w:r>
      <w:r>
        <w:t>)</w:t>
      </w:r>
      <w:r w:rsidR="00E62348">
        <w:t xml:space="preserve">.  </w:t>
      </w:r>
      <w:r w:rsidR="00C11D3A">
        <w:t>ICASA concluded that</w:t>
      </w:r>
      <w:r w:rsidR="00976EA2">
        <w:t>:</w:t>
      </w:r>
    </w:p>
    <w:p w14:paraId="52135419" w14:textId="54D26112" w:rsidR="00C11D3A" w:rsidRPr="00844B93" w:rsidRDefault="00976EA2" w:rsidP="003A1423">
      <w:pPr>
        <w:pStyle w:val="Quote"/>
        <w:rPr>
          <w:lang w:val="en-ZA" w:eastAsia="en-GB"/>
        </w:rPr>
      </w:pPr>
      <w:r>
        <w:rPr>
          <w:lang w:val="en-ZA" w:eastAsia="en-GB"/>
        </w:rPr>
        <w:lastRenderedPageBreak/>
        <w:t>“</w:t>
      </w:r>
      <w:r w:rsidR="00C11D3A" w:rsidRPr="00C11D3A">
        <w:rPr>
          <w:lang w:val="en-ZA" w:eastAsia="en-GB"/>
        </w:rPr>
        <w:t>The significant variability in prices, usage and costs between different geographic areas in South Africa suggests that competitive dynamics vary significantly between areas. These factors support the Authority's finding that there are sub-national markets that are at least as narrow as the local and metropolitan municipality level.</w:t>
      </w:r>
      <w:r>
        <w:rPr>
          <w:lang w:val="en-ZA" w:eastAsia="en-GB"/>
        </w:rPr>
        <w:t xml:space="preserve">” </w:t>
      </w:r>
      <w:r w:rsidR="00C11D3A">
        <w:t>(Discussion Document, para 35)</w:t>
      </w:r>
    </w:p>
    <w:p w14:paraId="6AF00C1D" w14:textId="57FC0B13" w:rsidR="003A1C01" w:rsidRPr="00844B93" w:rsidRDefault="003A1C01" w:rsidP="001951A1">
      <w:pPr>
        <w:pStyle w:val="1"/>
        <w:rPr>
          <w:lang w:val="en-ZA" w:eastAsia="en-GB"/>
        </w:rPr>
      </w:pPr>
      <w:r>
        <w:t>However, in respect of spectrum, ICASA noted that spectrum has been assigned national</w:t>
      </w:r>
      <w:r w:rsidR="003C3A4A">
        <w:t>ly</w:t>
      </w:r>
      <w:r>
        <w:t xml:space="preserve"> and “</w:t>
      </w:r>
      <w:r w:rsidRPr="00844B93">
        <w:rPr>
          <w:i/>
        </w:rPr>
        <w:t>therefore competitive dynamics with respect to spectrum should be analysed nationa</w:t>
      </w:r>
      <w:r w:rsidR="00A566AE">
        <w:rPr>
          <w:i/>
        </w:rPr>
        <w:t>l</w:t>
      </w:r>
      <w:r w:rsidRPr="00844B93">
        <w:rPr>
          <w:i/>
        </w:rPr>
        <w:t>l</w:t>
      </w:r>
      <w:r w:rsidR="00A566AE">
        <w:rPr>
          <w:i/>
        </w:rPr>
        <w:t>y</w:t>
      </w:r>
      <w:r>
        <w:t>”.  (Discussion Document, para 80)</w:t>
      </w:r>
    </w:p>
    <w:p w14:paraId="0C0AFEBB" w14:textId="6F9B68D1" w:rsidR="00C11D3A" w:rsidRDefault="002B306F" w:rsidP="001951A1">
      <w:pPr>
        <w:pStyle w:val="1"/>
      </w:pPr>
      <w:r>
        <w:t xml:space="preserve">ICASA’s </w:t>
      </w:r>
      <w:r w:rsidR="003C3A4A">
        <w:t>preliminary analysis of</w:t>
      </w:r>
      <w:r>
        <w:t xml:space="preserve"> market shares and market power </w:t>
      </w:r>
      <w:r w:rsidR="00614EBE">
        <w:t xml:space="preserve">stated </w:t>
      </w:r>
      <w:r>
        <w:t>as follows:</w:t>
      </w:r>
    </w:p>
    <w:p w14:paraId="77B8FD1F" w14:textId="55D0F662" w:rsidR="002B306F" w:rsidRPr="00844B93" w:rsidRDefault="00976EA2" w:rsidP="003A1423">
      <w:pPr>
        <w:pStyle w:val="Quote"/>
        <w:rPr>
          <w:rFonts w:ascii="Times New Roman" w:hAnsi="Times New Roman"/>
          <w:lang w:val="en-ZA" w:eastAsia="en-GB"/>
        </w:rPr>
      </w:pPr>
      <w:r>
        <w:rPr>
          <w:lang w:val="en-ZA" w:eastAsia="en-GB"/>
        </w:rPr>
        <w:t>“</w:t>
      </w:r>
      <w:r w:rsidR="002B306F" w:rsidRPr="002B306F">
        <w:rPr>
          <w:lang w:val="en-ZA" w:eastAsia="en-GB"/>
        </w:rPr>
        <w:t>A number of licensees have significant market power, measured using the dominance threshold (a 45% market share), in various municipalities. Vodacom is dominant in 110 municipalities, MTN is dominant in 78 municipalities and MTN and Vodacom both have a share of 45% or more in 4 municipalities (see Figure 20). Cell C has a market share of 45% in one local municipality, and 41 municipalities do not have a dominant operator</w:t>
      </w:r>
      <w:r>
        <w:rPr>
          <w:lang w:val="en-ZA" w:eastAsia="en-GB"/>
        </w:rPr>
        <w:t xml:space="preserve">.” </w:t>
      </w:r>
      <w:r w:rsidR="002B306F">
        <w:t>(Discussion Document, para 71)</w:t>
      </w:r>
    </w:p>
    <w:p w14:paraId="5558ECEB" w14:textId="3810FA0F" w:rsidR="002B306F" w:rsidRDefault="00325679" w:rsidP="001951A1">
      <w:pPr>
        <w:pStyle w:val="1"/>
      </w:pPr>
      <w:r w:rsidRPr="00844B93">
        <w:t>ICASA concluded</w:t>
      </w:r>
      <w:r w:rsidR="003C32CE">
        <w:t xml:space="preserve"> that</w:t>
      </w:r>
      <w:r w:rsidRPr="00844B93">
        <w:t xml:space="preserve"> </w:t>
      </w:r>
      <w:r w:rsidR="003A1C01" w:rsidRPr="00844B93">
        <w:t>MTN and Vodacom h</w:t>
      </w:r>
      <w:r w:rsidRPr="00844B93">
        <w:t>ave significant market power in terms of the ECA</w:t>
      </w:r>
      <w:r w:rsidR="003A1C01" w:rsidRPr="00844B93">
        <w:t xml:space="preserve"> </w:t>
      </w:r>
      <w:r w:rsidRPr="003A1C01">
        <w:t>(Discussion</w:t>
      </w:r>
      <w:r w:rsidRPr="0040024D">
        <w:t xml:space="preserve"> Document, para 76</w:t>
      </w:r>
      <w:r w:rsidRPr="005B1BF3">
        <w:t>)</w:t>
      </w:r>
      <w:r w:rsidR="00E62348">
        <w:t>.</w:t>
      </w:r>
    </w:p>
    <w:p w14:paraId="515FA15B" w14:textId="26768087" w:rsidR="00F060AB" w:rsidRPr="001A7D88" w:rsidRDefault="00F060AB" w:rsidP="001951A1">
      <w:pPr>
        <w:pStyle w:val="1"/>
      </w:pPr>
      <w:r>
        <w:t xml:space="preserve"> MTN submitted written and oral representations to ICASA setting out its position on many of these topics</w:t>
      </w:r>
      <w:r w:rsidR="00976EA2">
        <w:t xml:space="preserve">.  </w:t>
      </w:r>
      <w:proofErr w:type="gramStart"/>
      <w:r w:rsidR="00976EA2">
        <w:t>In particular, MTN</w:t>
      </w:r>
      <w:proofErr w:type="gramEnd"/>
      <w:r w:rsidR="00976EA2">
        <w:t xml:space="preserve"> disagree</w:t>
      </w:r>
      <w:r w:rsidR="000D38A3">
        <w:t>d</w:t>
      </w:r>
      <w:r w:rsidR="00976EA2">
        <w:t xml:space="preserve"> with ICASA’s conclusion that the markets should be narrowly defined.  I deal with this aspect in more detail below. </w:t>
      </w:r>
    </w:p>
    <w:p w14:paraId="05228CBC" w14:textId="095ABF53" w:rsidR="00C94275" w:rsidRDefault="00B56D53">
      <w:pPr>
        <w:pStyle w:val="Heading1"/>
      </w:pPr>
      <w:bookmarkStart w:id="11" w:name="_Toc62222146"/>
      <w:r>
        <w:lastRenderedPageBreak/>
        <w:t xml:space="preserve">THE </w:t>
      </w:r>
      <w:r w:rsidR="004B0ACA">
        <w:t xml:space="preserve">POTENTIAL CONSEQUENCES OF THE </w:t>
      </w:r>
      <w:r>
        <w:t>OPT-IN SCHEME</w:t>
      </w:r>
      <w:bookmarkEnd w:id="11"/>
    </w:p>
    <w:p w14:paraId="7F47D3F9" w14:textId="3151E50A" w:rsidR="00A14AE2" w:rsidRPr="00847678" w:rsidRDefault="00A14AE2" w:rsidP="001951A1">
      <w:pPr>
        <w:pStyle w:val="1"/>
      </w:pPr>
      <w:r w:rsidRPr="00847678">
        <w:t xml:space="preserve">I have explained above that </w:t>
      </w:r>
      <w:r w:rsidR="007721B8">
        <w:t>paragraph</w:t>
      </w:r>
      <w:r w:rsidR="007721B8" w:rsidRPr="00847678">
        <w:t xml:space="preserve"> </w:t>
      </w:r>
      <w:r w:rsidRPr="00847678">
        <w:t xml:space="preserve">6 of the ITA and the Reasons Document </w:t>
      </w:r>
      <w:r w:rsidR="00E15A46">
        <w:t xml:space="preserve">do not </w:t>
      </w:r>
      <w:r w:rsidRPr="00847678">
        <w:t xml:space="preserve">provide clarity </w:t>
      </w:r>
      <w:r w:rsidR="00D43110">
        <w:t xml:space="preserve">regarding </w:t>
      </w:r>
      <w:r w:rsidRPr="00847678">
        <w:t xml:space="preserve">the operation of the Opt-In Round. </w:t>
      </w:r>
      <w:proofErr w:type="gramStart"/>
      <w:r w:rsidRPr="00847678">
        <w:t>In particular, it</w:t>
      </w:r>
      <w:proofErr w:type="gramEnd"/>
      <w:r w:rsidRPr="00847678">
        <w:t xml:space="preserve"> is not clear:</w:t>
      </w:r>
    </w:p>
    <w:p w14:paraId="019BE754" w14:textId="53DD0C84" w:rsidR="00A14AE2" w:rsidRDefault="00A14AE2" w:rsidP="001951A1">
      <w:pPr>
        <w:pStyle w:val="2"/>
      </w:pPr>
      <w:r>
        <w:t xml:space="preserve">Who is eligible to participate in the Opt-In Auction </w:t>
      </w:r>
      <w:proofErr w:type="gramStart"/>
      <w:r>
        <w:t>Round</w:t>
      </w:r>
      <w:r w:rsidR="00E15A46">
        <w:t>.</w:t>
      </w:r>
      <w:proofErr w:type="gramEnd"/>
    </w:p>
    <w:p w14:paraId="55063C55" w14:textId="355834EF" w:rsidR="00A14AE2" w:rsidRPr="00E344B9" w:rsidRDefault="00A14AE2" w:rsidP="00140C60">
      <w:pPr>
        <w:pStyle w:val="2"/>
      </w:pPr>
      <w:r w:rsidRPr="00E344B9">
        <w:t xml:space="preserve">What proportion of the total spectrum assignment from the </w:t>
      </w:r>
      <w:r w:rsidR="00F14D30" w:rsidRPr="00E344B9">
        <w:t>ITA</w:t>
      </w:r>
      <w:r w:rsidRPr="00E344B9">
        <w:t xml:space="preserve"> will be available in the Opt-In Auction </w:t>
      </w:r>
      <w:proofErr w:type="gramStart"/>
      <w:r w:rsidRPr="00E344B9">
        <w:t>Round.</w:t>
      </w:r>
      <w:proofErr w:type="gramEnd"/>
      <w:r w:rsidRPr="00E344B9">
        <w:t xml:space="preserve"> </w:t>
      </w:r>
    </w:p>
    <w:p w14:paraId="6B457945" w14:textId="0A804300" w:rsidR="00A14AE2" w:rsidRPr="00847678" w:rsidRDefault="00A14AE2" w:rsidP="00140C60">
      <w:pPr>
        <w:pStyle w:val="2"/>
      </w:pPr>
      <w:r w:rsidRPr="00847678">
        <w:t xml:space="preserve">Whether the Opt-In Auction Round has its </w:t>
      </w:r>
      <w:r w:rsidR="00ED568D">
        <w:t xml:space="preserve">internal </w:t>
      </w:r>
      <w:r w:rsidRPr="00847678">
        <w:t>own spectrum caps or whether participating bidders may bid for spectrum lots up to the overall caps.</w:t>
      </w:r>
    </w:p>
    <w:p w14:paraId="05CF9DAC" w14:textId="02B18741" w:rsidR="00A14AE2" w:rsidRPr="00A14AE2" w:rsidRDefault="00145D17" w:rsidP="001951A1">
      <w:pPr>
        <w:pStyle w:val="1"/>
      </w:pPr>
      <w:r>
        <w:t xml:space="preserve">Of particular concern to MTN is the </w:t>
      </w:r>
      <w:r w:rsidR="00B959BA">
        <w:t xml:space="preserve">amount </w:t>
      </w:r>
      <w:r>
        <w:t xml:space="preserve">of spectrum </w:t>
      </w:r>
      <w:r w:rsidR="00073DBD">
        <w:t xml:space="preserve">that </w:t>
      </w:r>
      <w:r w:rsidR="00311B88">
        <w:t>will be</w:t>
      </w:r>
      <w:r w:rsidR="00073DBD">
        <w:t xml:space="preserve"> </w:t>
      </w:r>
      <w:r>
        <w:t>available</w:t>
      </w:r>
      <w:r w:rsidR="00073DBD">
        <w:t xml:space="preserve"> </w:t>
      </w:r>
      <w:r>
        <w:t xml:space="preserve">during the Opt-In </w:t>
      </w:r>
      <w:proofErr w:type="gramStart"/>
      <w:r>
        <w:t>Round</w:t>
      </w:r>
      <w:r w:rsidR="00ED568D">
        <w:t>,</w:t>
      </w:r>
      <w:r w:rsidR="00073DBD">
        <w:t xml:space="preserve"> since</w:t>
      </w:r>
      <w:proofErr w:type="gramEnd"/>
      <w:r w:rsidR="00073DBD">
        <w:t xml:space="preserve"> this </w:t>
      </w:r>
      <w:r>
        <w:t xml:space="preserve">will directly affect the </w:t>
      </w:r>
      <w:r w:rsidR="00B959BA">
        <w:t xml:space="preserve">remaining </w:t>
      </w:r>
      <w:r>
        <w:t>spectrum available to MTN in the subsequent auction rounds.</w:t>
      </w:r>
      <w:r w:rsidR="00073DBD">
        <w:t xml:space="preserve"> </w:t>
      </w:r>
      <w:r w:rsidR="00AB3AE9">
        <w:t xml:space="preserve"> </w:t>
      </w:r>
      <w:r w:rsidR="00243887" w:rsidRPr="00847678">
        <w:t xml:space="preserve">Clause 6 </w:t>
      </w:r>
      <w:r w:rsidR="00B57A32">
        <w:t xml:space="preserve">of the ITA </w:t>
      </w:r>
      <w:r w:rsidR="007721B8">
        <w:t xml:space="preserve">appears to contemplate that </w:t>
      </w:r>
      <w:r w:rsidR="00243887" w:rsidRPr="00847678">
        <w:t xml:space="preserve">participating bidders </w:t>
      </w:r>
      <w:r w:rsidR="00073DBD">
        <w:t>could</w:t>
      </w:r>
      <w:r w:rsidR="00073DBD" w:rsidRPr="00847678">
        <w:t xml:space="preserve"> </w:t>
      </w:r>
      <w:r w:rsidR="00243887" w:rsidRPr="00847678">
        <w:t>acquire spectrum up to the</w:t>
      </w:r>
      <w:r w:rsidR="007721B8">
        <w:t>ir</w:t>
      </w:r>
      <w:r w:rsidR="00243887" w:rsidRPr="00847678">
        <w:t xml:space="preserve"> overall caps during the Opt-In Auction Round. </w:t>
      </w:r>
      <w:r w:rsidR="00073DBD">
        <w:t xml:space="preserve"> </w:t>
      </w:r>
      <w:r w:rsidR="00B57A32">
        <w:t>This means that p</w:t>
      </w:r>
      <w:r w:rsidR="00A14AE2" w:rsidRPr="00A14AE2">
        <w:t xml:space="preserve">articipating bidders </w:t>
      </w:r>
      <w:r w:rsidR="00311B88">
        <w:t xml:space="preserve">would be </w:t>
      </w:r>
      <w:r w:rsidR="00A14AE2" w:rsidRPr="00A14AE2">
        <w:t>constrained only by th</w:t>
      </w:r>
      <w:r w:rsidR="007721B8">
        <w:t>eir</w:t>
      </w:r>
      <w:r w:rsidR="00A14AE2" w:rsidRPr="00A14AE2">
        <w:t xml:space="preserve"> overall spectrum caps</w:t>
      </w:r>
      <w:r w:rsidR="00311B88">
        <w:t xml:space="preserve"> </w:t>
      </w:r>
      <w:r w:rsidR="00ED568D">
        <w:t xml:space="preserve">when they bid </w:t>
      </w:r>
      <w:r w:rsidR="00311B88">
        <w:t>during the Opt-In Round</w:t>
      </w:r>
      <w:r w:rsidR="00A14AE2" w:rsidRPr="00A14AE2">
        <w:t xml:space="preserve">. </w:t>
      </w:r>
    </w:p>
    <w:p w14:paraId="7F9F5532" w14:textId="2CCB0982" w:rsidR="00243887" w:rsidRDefault="00ED568D" w:rsidP="001951A1">
      <w:pPr>
        <w:pStyle w:val="1"/>
      </w:pPr>
      <w:r>
        <w:t xml:space="preserve">This </w:t>
      </w:r>
      <w:r w:rsidR="00D43110">
        <w:t>has potentially</w:t>
      </w:r>
      <w:r w:rsidR="00073DBD">
        <w:t xml:space="preserve"> </w:t>
      </w:r>
      <w:r w:rsidR="00243887">
        <w:t>devastating consequences for MTN</w:t>
      </w:r>
      <w:r w:rsidR="00B57A32">
        <w:t>, since it mean</w:t>
      </w:r>
      <w:r w:rsidR="00073DBD">
        <w:t>s</w:t>
      </w:r>
      <w:r w:rsidR="00B57A32">
        <w:t xml:space="preserve"> that </w:t>
      </w:r>
      <w:r w:rsidR="00243887">
        <w:t>the Opt-In Round will enable participating bidders to take up all</w:t>
      </w:r>
      <w:r>
        <w:t xml:space="preserve"> </w:t>
      </w:r>
      <w:r w:rsidR="007721B8">
        <w:t xml:space="preserve">of the spectrum on offer </w:t>
      </w:r>
      <w:r>
        <w:t>(</w:t>
      </w:r>
      <w:r w:rsidR="00243887">
        <w:t xml:space="preserve">or </w:t>
      </w:r>
      <w:r>
        <w:t>at least the lion’s shar</w:t>
      </w:r>
      <w:r w:rsidR="007721B8">
        <w:t>e</w:t>
      </w:r>
      <w:r w:rsidR="00D43110">
        <w:t xml:space="preserve"> of the spectrum on offer</w:t>
      </w:r>
      <w:r w:rsidR="007721B8">
        <w:t>) bef</w:t>
      </w:r>
      <w:r w:rsidR="00243887">
        <w:t xml:space="preserve">ore MTN </w:t>
      </w:r>
      <w:r>
        <w:t xml:space="preserve">even </w:t>
      </w:r>
      <w:r w:rsidR="00243887">
        <w:t>has an opportunity to place a bid.</w:t>
      </w:r>
      <w:r w:rsidR="00B57A32">
        <w:t xml:space="preserve">  I </w:t>
      </w:r>
      <w:r w:rsidR="000374B5">
        <w:t xml:space="preserve">explain </w:t>
      </w:r>
      <w:r w:rsidR="00B57A32">
        <w:t>this below.</w:t>
      </w:r>
    </w:p>
    <w:p w14:paraId="7E7A9E47" w14:textId="2A3D95E2" w:rsidR="00FD35C3" w:rsidRPr="00E344B9" w:rsidRDefault="00FD35C3" w:rsidP="00DD38E2">
      <w:pPr>
        <w:pStyle w:val="1"/>
      </w:pPr>
      <w:r w:rsidRPr="00E344B9">
        <w:lastRenderedPageBreak/>
        <w:t xml:space="preserve">The ITA makes 326MHz of spectrum available for assignment across three bands: 2600, 3500 and the sub-1GB </w:t>
      </w:r>
      <w:r w:rsidR="001F1E1F" w:rsidRPr="00E344B9">
        <w:t xml:space="preserve">(700MHz, 800MHz) </w:t>
      </w:r>
      <w:r w:rsidRPr="00E344B9">
        <w:t xml:space="preserve">bands.  </w:t>
      </w:r>
    </w:p>
    <w:p w14:paraId="73A4F179" w14:textId="16FF501D" w:rsidR="00841174" w:rsidRDefault="002F0FDA" w:rsidP="00DD38E2">
      <w:pPr>
        <w:pStyle w:val="1"/>
      </w:pPr>
      <w:r>
        <w:t xml:space="preserve">If </w:t>
      </w:r>
      <w:r w:rsidR="00243887">
        <w:t>participating bidders will only be constrained by their overall spectrum caps</w:t>
      </w:r>
      <w:r w:rsidR="00A535D0">
        <w:t xml:space="preserve"> </w:t>
      </w:r>
      <w:r w:rsidR="00ED568D">
        <w:t xml:space="preserve">when they bid </w:t>
      </w:r>
      <w:r w:rsidR="00A535D0">
        <w:t>during the Opt-In Round</w:t>
      </w:r>
      <w:r>
        <w:t>, th</w:t>
      </w:r>
      <w:r w:rsidR="00A535D0">
        <w:t>is would have the following implications:</w:t>
      </w:r>
    </w:p>
    <w:p w14:paraId="19D09E61" w14:textId="25C6CB84" w:rsidR="00841174" w:rsidRPr="00847678" w:rsidRDefault="00841174" w:rsidP="00140C60">
      <w:pPr>
        <w:pStyle w:val="2"/>
      </w:pPr>
      <w:r w:rsidRPr="00847678">
        <w:t>Telkom has an existing allocation of</w:t>
      </w:r>
      <w:r>
        <w:t xml:space="preserve"> 2x12 in the 1800MHz, 2 x 15MHz in the 2100, 60MHz in the 2300 and </w:t>
      </w:r>
      <w:r w:rsidRPr="00847678">
        <w:t>28MHz</w:t>
      </w:r>
      <w:r>
        <w:t xml:space="preserve"> in the 3500MHz band</w:t>
      </w:r>
      <w:r w:rsidRPr="00847678">
        <w:t>.</w:t>
      </w:r>
      <w:r>
        <w:t xml:space="preserve">  This is a total of </w:t>
      </w:r>
      <w:r w:rsidRPr="00D543AD">
        <w:t>142MHz</w:t>
      </w:r>
      <w:r>
        <w:t xml:space="preserve"> and means that Telkom may bid for an additional </w:t>
      </w:r>
      <w:r w:rsidRPr="00DD04B3">
        <w:rPr>
          <w:b/>
          <w:bCs/>
        </w:rPr>
        <w:t>42MHz</w:t>
      </w:r>
      <w:r>
        <w:t xml:space="preserve"> </w:t>
      </w:r>
      <w:r w:rsidR="002F0FDA">
        <w:t>in the Opt-In Round</w:t>
      </w:r>
      <w:r>
        <w:t xml:space="preserve">. </w:t>
      </w:r>
    </w:p>
    <w:p w14:paraId="7358A69C" w14:textId="194033EC" w:rsidR="00841174" w:rsidRPr="00847678" w:rsidRDefault="00841174" w:rsidP="00140C60">
      <w:pPr>
        <w:pStyle w:val="2"/>
      </w:pPr>
      <w:r w:rsidRPr="00847678">
        <w:t xml:space="preserve">Liquid has an existing allocation of </w:t>
      </w:r>
      <w:r>
        <w:t xml:space="preserve">2x5 in the sub-1GB bands, 2x12 in the 1800MHz, and </w:t>
      </w:r>
      <w:r w:rsidRPr="00847678">
        <w:t xml:space="preserve">56MHz </w:t>
      </w:r>
      <w:r>
        <w:t xml:space="preserve">in the 3500MHz band.  This is a total of </w:t>
      </w:r>
      <w:r w:rsidRPr="00D543AD">
        <w:t xml:space="preserve">90MHz </w:t>
      </w:r>
      <w:r>
        <w:t xml:space="preserve">and means that Liquid may bid for an additional </w:t>
      </w:r>
      <w:r w:rsidRPr="00DD04B3">
        <w:rPr>
          <w:b/>
          <w:bCs/>
        </w:rPr>
        <w:t xml:space="preserve">104MHz </w:t>
      </w:r>
      <w:r w:rsidR="002F0FDA">
        <w:t>in the Opt-In Round</w:t>
      </w:r>
      <w:r>
        <w:t xml:space="preserve">.  </w:t>
      </w:r>
    </w:p>
    <w:p w14:paraId="2AFC916E" w14:textId="38B9C0A7" w:rsidR="00841174" w:rsidRDefault="000374B5" w:rsidP="00140C60">
      <w:pPr>
        <w:pStyle w:val="2"/>
      </w:pPr>
      <w:r>
        <w:t>Rain</w:t>
      </w:r>
      <w:r w:rsidRPr="00847678">
        <w:t xml:space="preserve"> </w:t>
      </w:r>
      <w:r w:rsidR="00841174">
        <w:t xml:space="preserve">has an existing allocation of 2 x 12 in the 1800MHz band, 10MHz in the 1800 TDD band, and 20MHz in the 2600MHz band.  This is a total of </w:t>
      </w:r>
      <w:r w:rsidR="00841174" w:rsidRPr="00D543AD">
        <w:t>54MHz</w:t>
      </w:r>
      <w:r w:rsidR="00841174">
        <w:t xml:space="preserve"> and means that Rain may bid for an additional </w:t>
      </w:r>
      <w:r w:rsidR="00841174" w:rsidRPr="00DD04B3">
        <w:rPr>
          <w:b/>
          <w:bCs/>
        </w:rPr>
        <w:t>130MHz</w:t>
      </w:r>
      <w:r w:rsidR="00841174">
        <w:t xml:space="preserve"> </w:t>
      </w:r>
      <w:r w:rsidR="002F0FDA">
        <w:t>in the Opt-In Round</w:t>
      </w:r>
      <w:r w:rsidR="00841174">
        <w:t xml:space="preserve">. </w:t>
      </w:r>
    </w:p>
    <w:p w14:paraId="51549910" w14:textId="5AAB6BF9" w:rsidR="00624E7E" w:rsidRPr="00624E7E" w:rsidRDefault="00624E7E" w:rsidP="00140C60">
      <w:pPr>
        <w:pStyle w:val="2"/>
        <w:rPr>
          <w:lang w:val="en-US"/>
        </w:rPr>
      </w:pPr>
      <w:r>
        <w:t xml:space="preserve">Cell C has an existing allocation of </w:t>
      </w:r>
      <w:r>
        <w:rPr>
          <w:lang w:val="en-US"/>
        </w:rPr>
        <w:t xml:space="preserve">22MHz in the 900MHz band, 24 MHz in the 1800 band, 30 MHz in the 2100MHz band.  This is a total of 76MHz and means that Cell C may bid for an additional </w:t>
      </w:r>
      <w:r w:rsidRPr="00624E7E">
        <w:rPr>
          <w:b/>
          <w:bCs/>
          <w:lang w:val="en-US"/>
        </w:rPr>
        <w:t>108MHz</w:t>
      </w:r>
      <w:r>
        <w:rPr>
          <w:lang w:val="en-US"/>
        </w:rPr>
        <w:t xml:space="preserve"> in the Opt-In Round.</w:t>
      </w:r>
    </w:p>
    <w:p w14:paraId="3ADCAAF6" w14:textId="6F9E7797" w:rsidR="000514F8" w:rsidRDefault="00624E7E" w:rsidP="005E7BF6">
      <w:pPr>
        <w:pStyle w:val="1"/>
      </w:pPr>
      <w:r>
        <w:t xml:space="preserve">If one assumes that </w:t>
      </w:r>
      <w:r w:rsidRPr="00847678">
        <w:t xml:space="preserve">all bidders </w:t>
      </w:r>
      <w:r w:rsidR="00A535D0">
        <w:t xml:space="preserve">would </w:t>
      </w:r>
      <w:r w:rsidR="00ED568D">
        <w:t>seek</w:t>
      </w:r>
      <w:r w:rsidR="00ED568D" w:rsidRPr="00847678">
        <w:t xml:space="preserve"> </w:t>
      </w:r>
      <w:r w:rsidRPr="00847678">
        <w:t xml:space="preserve">to reach their </w:t>
      </w:r>
      <w:r>
        <w:t xml:space="preserve">overall </w:t>
      </w:r>
      <w:r w:rsidRPr="00847678">
        <w:t xml:space="preserve">cap during the Opt-In </w:t>
      </w:r>
      <w:r w:rsidR="00311B88">
        <w:t>R</w:t>
      </w:r>
      <w:r w:rsidRPr="00847678">
        <w:t>ound</w:t>
      </w:r>
      <w:r>
        <w:t xml:space="preserve">, it </w:t>
      </w:r>
      <w:r w:rsidR="00B57A32">
        <w:t xml:space="preserve">would be </w:t>
      </w:r>
      <w:r>
        <w:t xml:space="preserve">possible for the participating bidders to </w:t>
      </w:r>
      <w:r>
        <w:lastRenderedPageBreak/>
        <w:t xml:space="preserve">cumulatively acquire </w:t>
      </w:r>
      <w:r w:rsidRPr="005E7BF6">
        <w:rPr>
          <w:iCs w:val="0"/>
          <w:u w:val="single"/>
        </w:rPr>
        <w:t>all</w:t>
      </w:r>
      <w:r>
        <w:t xml:space="preserve"> of the available spectrum </w:t>
      </w:r>
      <w:r w:rsidR="00BA2029">
        <w:t xml:space="preserve">(or at least </w:t>
      </w:r>
      <w:r w:rsidR="00BA2029" w:rsidRPr="005E7BF6">
        <w:rPr>
          <w:iCs w:val="0"/>
          <w:u w:val="single"/>
        </w:rPr>
        <w:t>most</w:t>
      </w:r>
      <w:r w:rsidR="00BA2029">
        <w:t xml:space="preserve"> of the available spectrum) </w:t>
      </w:r>
      <w:r w:rsidR="005E7BF6">
        <w:t xml:space="preserve">during </w:t>
      </w:r>
      <w:r>
        <w:t xml:space="preserve">the Opt-In Round.  </w:t>
      </w:r>
      <w:r w:rsidR="00B57A32">
        <w:t xml:space="preserve">A further concern is that </w:t>
      </w:r>
      <w:proofErr w:type="gramStart"/>
      <w:r w:rsidR="00B57A32">
        <w:t>all of</w:t>
      </w:r>
      <w:proofErr w:type="gramEnd"/>
      <w:r w:rsidR="00B57A32">
        <w:t xml:space="preserve"> the spectrum </w:t>
      </w:r>
      <w:r w:rsidR="00B57A32" w:rsidRPr="005E7BF6">
        <w:rPr>
          <w:iCs w:val="0"/>
          <w:u w:val="single"/>
        </w:rPr>
        <w:t>in particular bands</w:t>
      </w:r>
      <w:r w:rsidR="00B57A32">
        <w:t xml:space="preserve"> may be taken up during the Opt-In Round.</w:t>
      </w:r>
      <w:r w:rsidR="00B57A32" w:rsidRPr="00B57A32">
        <w:t xml:space="preserve"> </w:t>
      </w:r>
      <w:r w:rsidR="00B57A32">
        <w:t xml:space="preserve">This is particularly concerning in respect of the 3500MHz band. </w:t>
      </w:r>
      <w:r w:rsidR="005E7BF6">
        <w:t xml:space="preserve"> </w:t>
      </w:r>
      <w:r w:rsidR="000514F8">
        <w:t>I have explained above</w:t>
      </w:r>
      <w:r w:rsidR="000514F8" w:rsidRPr="00C0001D">
        <w:t xml:space="preserve"> that </w:t>
      </w:r>
      <w:r w:rsidR="000514F8">
        <w:t xml:space="preserve">spectrum in the 3500MHz band is </w:t>
      </w:r>
      <w:r w:rsidR="000F2436">
        <w:t>a critical requirement</w:t>
      </w:r>
      <w:r w:rsidR="000514F8">
        <w:t xml:space="preserve"> for any operator </w:t>
      </w:r>
      <w:r w:rsidR="000F2436">
        <w:t xml:space="preserve">seeking to roll out </w:t>
      </w:r>
      <w:r w:rsidR="000514F8" w:rsidRPr="00C0001D">
        <w:t xml:space="preserve">5G </w:t>
      </w:r>
      <w:r w:rsidR="000F2436">
        <w:t xml:space="preserve">technology. </w:t>
      </w:r>
    </w:p>
    <w:p w14:paraId="4F0458F1" w14:textId="1161E84C" w:rsidR="008E74EC" w:rsidRDefault="00B57A32" w:rsidP="001951A1">
      <w:pPr>
        <w:pStyle w:val="1"/>
      </w:pPr>
      <w:r>
        <w:t xml:space="preserve">I accept that there are </w:t>
      </w:r>
      <w:r w:rsidR="008E74EC">
        <w:t>a variety of commercial and practical factors influencing the quantity of spectrum that each operator will seek to procure, and there is no guarantee that all operators will bid for spectrum up to the overall spectrum cap</w:t>
      </w:r>
      <w:r w:rsidR="00311B88">
        <w:t xml:space="preserve">s during the Opt-In Round.  </w:t>
      </w:r>
      <w:r w:rsidR="008E74EC">
        <w:t xml:space="preserve">Notwithstanding this, </w:t>
      </w:r>
      <w:r w:rsidR="00ED568D">
        <w:t>there remains a real r</w:t>
      </w:r>
      <w:r w:rsidR="008E74EC">
        <w:t xml:space="preserve">isk that </w:t>
      </w:r>
      <w:r w:rsidR="00ED568D">
        <w:t xml:space="preserve">all (or most) </w:t>
      </w:r>
      <w:r w:rsidR="00A535D0">
        <w:t xml:space="preserve">of the </w:t>
      </w:r>
      <w:r w:rsidR="008E74EC">
        <w:t xml:space="preserve">available spectrum </w:t>
      </w:r>
      <w:r>
        <w:t xml:space="preserve">may be </w:t>
      </w:r>
      <w:r w:rsidR="00ED568D">
        <w:t xml:space="preserve">bid for </w:t>
      </w:r>
      <w:r w:rsidR="00A535D0">
        <w:t xml:space="preserve">during </w:t>
      </w:r>
      <w:r w:rsidR="008E74EC">
        <w:t xml:space="preserve">the Opt-In Auction round. </w:t>
      </w:r>
    </w:p>
    <w:p w14:paraId="5098BE22" w14:textId="1345FD71" w:rsidR="000514F8" w:rsidRDefault="000514F8" w:rsidP="001951A1">
      <w:pPr>
        <w:pStyle w:val="1"/>
      </w:pPr>
      <w:r>
        <w:t xml:space="preserve">The potential outcomes of the Opt-In Scheme are far-reaching.  </w:t>
      </w:r>
      <w:r w:rsidR="00E7559E">
        <w:t>They are not only</w:t>
      </w:r>
      <w:r>
        <w:t xml:space="preserve"> prejudicial to </w:t>
      </w:r>
      <w:proofErr w:type="gramStart"/>
      <w:r>
        <w:t>MTN, but</w:t>
      </w:r>
      <w:proofErr w:type="gramEnd"/>
      <w:r>
        <w:t xml:space="preserve"> will render the ITA auction economically inefficient</w:t>
      </w:r>
      <w:r w:rsidR="0055240C">
        <w:t xml:space="preserve"> to the detriment of the South Africa public</w:t>
      </w:r>
      <w:r>
        <w:t xml:space="preserve">. </w:t>
      </w:r>
    </w:p>
    <w:p w14:paraId="2C1618AA" w14:textId="3085B292" w:rsidR="004B554B" w:rsidRDefault="004B554B" w:rsidP="001951A1">
      <w:pPr>
        <w:pStyle w:val="1"/>
      </w:pPr>
      <w:r>
        <w:t>Ordinarily, an auction will be economically efficient if the Regula</w:t>
      </w:r>
      <w:r w:rsidR="00350D67">
        <w:t>to</w:t>
      </w:r>
      <w:r>
        <w:t xml:space="preserve">r allocates </w:t>
      </w:r>
      <w:r w:rsidRPr="004B554B">
        <w:t>spectrum to those who can make best use of it</w:t>
      </w:r>
      <w:r>
        <w:t xml:space="preserve">, </w:t>
      </w:r>
      <w:r w:rsidR="00647BCB">
        <w:t>who value it the most, and</w:t>
      </w:r>
      <w:r>
        <w:t xml:space="preserve"> who are able to place bids up to the full value of the spectrum to their business.</w:t>
      </w:r>
      <w:r w:rsidR="00647BCB">
        <w:t xml:space="preserve">  </w:t>
      </w:r>
    </w:p>
    <w:p w14:paraId="7FAF6790" w14:textId="77D643B7" w:rsidR="00647BCB" w:rsidRDefault="00647BCB" w:rsidP="00BB394D">
      <w:pPr>
        <w:pStyle w:val="1"/>
        <w:rPr>
          <w:lang w:val="en-ZA" w:eastAsia="en-GB"/>
        </w:rPr>
      </w:pPr>
      <w:r>
        <w:rPr>
          <w:lang w:val="en-ZA" w:eastAsia="en-GB"/>
        </w:rPr>
        <w:t>ICASA accepts that the major operators like MTN and Vodacom are seriously constrained by their limited spectrum holding</w:t>
      </w:r>
      <w:r w:rsidR="00B5326B">
        <w:rPr>
          <w:lang w:val="en-ZA" w:eastAsia="en-GB"/>
        </w:rPr>
        <w:t xml:space="preserve"> (for example, see Competition Assessment, Reasons Document, p94, para 29)</w:t>
      </w:r>
      <w:r w:rsidR="005E7BF6">
        <w:rPr>
          <w:lang w:val="en-ZA" w:eastAsia="en-GB"/>
        </w:rPr>
        <w:t>.</w:t>
      </w:r>
      <w:r w:rsidR="00BB394D">
        <w:rPr>
          <w:lang w:val="en-ZA" w:eastAsia="en-GB"/>
        </w:rPr>
        <w:t xml:space="preserve"> </w:t>
      </w:r>
      <w:r w:rsidRPr="00BB394D">
        <w:rPr>
          <w:lang w:val="en-ZA" w:eastAsia="en-GB"/>
        </w:rPr>
        <w:t xml:space="preserve">These are the bidders that will </w:t>
      </w:r>
      <w:r w:rsidRPr="000514F8">
        <w:rPr>
          <w:lang w:val="en-ZA" w:eastAsia="en-GB"/>
        </w:rPr>
        <w:t xml:space="preserve">place the highest value on the spectrum and </w:t>
      </w:r>
      <w:r w:rsidRPr="000F2436">
        <w:rPr>
          <w:lang w:val="en-ZA" w:eastAsia="en-GB"/>
        </w:rPr>
        <w:t xml:space="preserve">are most likely to optimally utilise the </w:t>
      </w:r>
      <w:r w:rsidRPr="00B5326B">
        <w:rPr>
          <w:lang w:val="en-ZA" w:eastAsia="en-GB"/>
        </w:rPr>
        <w:t>spectrum assigned to them.</w:t>
      </w:r>
    </w:p>
    <w:p w14:paraId="005FAE7C" w14:textId="4F88367F" w:rsidR="00647BCB" w:rsidRPr="00140C60" w:rsidRDefault="00BB394D" w:rsidP="00BC6644">
      <w:pPr>
        <w:pStyle w:val="1"/>
      </w:pPr>
      <w:r>
        <w:rPr>
          <w:lang w:val="en-ZA" w:eastAsia="en-GB"/>
        </w:rPr>
        <w:lastRenderedPageBreak/>
        <w:t>Despite this,</w:t>
      </w:r>
      <w:r>
        <w:t xml:space="preserve"> the Opt-In Round creates the opportunity for eligible Tier-2 operators to bid for spectrum protected from competition by Tier-1 operators and non-eligible bidders.  </w:t>
      </w:r>
      <w:r w:rsidR="00B455D7">
        <w:t>In other words, the</w:t>
      </w:r>
      <w:r>
        <w:t xml:space="preserve"> two largest operators </w:t>
      </w:r>
      <w:r w:rsidR="005E7BF6">
        <w:t>will be</w:t>
      </w:r>
      <w:r>
        <w:t xml:space="preserve"> precluded from participating in the award for all available spectrum.</w:t>
      </w:r>
    </w:p>
    <w:p w14:paraId="72B2ED78" w14:textId="1F49D335" w:rsidR="00BC6644" w:rsidRDefault="006D07D3" w:rsidP="006D07D3">
      <w:pPr>
        <w:pStyle w:val="1"/>
      </w:pPr>
      <w:r>
        <w:t>The Opt-In round</w:t>
      </w:r>
      <w:r w:rsidR="000514F8">
        <w:t xml:space="preserve"> will render the auction economically inefficient and will</w:t>
      </w:r>
      <w:r>
        <w:t xml:space="preserve"> limit the potential benefits of the </w:t>
      </w:r>
      <w:proofErr w:type="gramStart"/>
      <w:r>
        <w:t>newly</w:t>
      </w:r>
      <w:r w:rsidR="00B455D7">
        <w:t>-</w:t>
      </w:r>
      <w:r>
        <w:t>released</w:t>
      </w:r>
      <w:proofErr w:type="gramEnd"/>
      <w:r>
        <w:t xml:space="preserve"> spectrum to current and future South Africa consumers and businesses</w:t>
      </w:r>
      <w:r w:rsidR="00B455D7">
        <w:t>.  This is so for several reasons:</w:t>
      </w:r>
    </w:p>
    <w:p w14:paraId="0C86EB55" w14:textId="444873AE" w:rsidR="00BC6644" w:rsidRDefault="00B455D7" w:rsidP="000F2436">
      <w:pPr>
        <w:pStyle w:val="2"/>
      </w:pPr>
      <w:r>
        <w:t xml:space="preserve">The first reason is that this </w:t>
      </w:r>
      <w:r w:rsidR="000F2436">
        <w:t>will have a direct impact of the proceeds of the auction.</w:t>
      </w:r>
      <w:r w:rsidR="00DC4AC6">
        <w:t xml:space="preserve"> </w:t>
      </w:r>
      <w:r w:rsidR="000F2436">
        <w:t xml:space="preserve"> It</w:t>
      </w:r>
      <w:r w:rsidR="00BC6644">
        <w:t xml:space="preserve"> is likely that the successful bidder or bidders in the Opt-In round will pay a price lower than the true value of the spectrum to </w:t>
      </w:r>
      <w:r w:rsidR="000F2436">
        <w:t xml:space="preserve">the </w:t>
      </w:r>
      <w:proofErr w:type="gramStart"/>
      <w:r w:rsidR="000F2436">
        <w:t>market as a whole</w:t>
      </w:r>
      <w:proofErr w:type="gramEnd"/>
      <w:r w:rsidR="00BC6644">
        <w:t xml:space="preserve">.  </w:t>
      </w:r>
      <w:r w:rsidR="000514F8" w:rsidRPr="000F2436">
        <w:rPr>
          <w:lang w:val="en-ZA" w:eastAsia="en-GB"/>
        </w:rPr>
        <w:t>The smaller operators with significant spectrum holdings and smaller consu</w:t>
      </w:r>
      <w:r w:rsidR="000514F8" w:rsidRPr="00B5326B">
        <w:rPr>
          <w:lang w:val="en-ZA" w:eastAsia="en-GB"/>
        </w:rPr>
        <w:t>m</w:t>
      </w:r>
      <w:r w:rsidR="000514F8" w:rsidRPr="007D3236">
        <w:rPr>
          <w:lang w:val="en-ZA" w:eastAsia="en-GB"/>
        </w:rPr>
        <w:t>er base</w:t>
      </w:r>
      <w:r w:rsidR="000514F8" w:rsidRPr="00160E52">
        <w:rPr>
          <w:lang w:val="en-ZA" w:eastAsia="en-GB"/>
        </w:rPr>
        <w:t xml:space="preserve">s </w:t>
      </w:r>
      <w:r w:rsidR="000514F8" w:rsidRPr="00C90783">
        <w:rPr>
          <w:lang w:val="en-ZA" w:eastAsia="en-GB"/>
        </w:rPr>
        <w:t xml:space="preserve">are under less </w:t>
      </w:r>
      <w:r w:rsidR="000514F8" w:rsidRPr="00140C60">
        <w:t xml:space="preserve">pressure to secure additional spectrum.  </w:t>
      </w:r>
      <w:r w:rsidR="00BC6644" w:rsidRPr="000F2436">
        <w:t>This is what occurred in the 4G / LTE auction in the United Kingdom, where the Auditor General found that the proceeds of the auction were £159 million lower than if the spectrum assigned during the Opt-In Round h</w:t>
      </w:r>
      <w:r w:rsidR="000F2436">
        <w:t>ad</w:t>
      </w:r>
      <w:r w:rsidR="00BC6644" w:rsidRPr="000F2436">
        <w:t xml:space="preserve"> been offered to all bidders</w:t>
      </w:r>
      <w:r w:rsidR="00BC6644">
        <w:t xml:space="preserve">. </w:t>
      </w:r>
    </w:p>
    <w:p w14:paraId="7F24C781" w14:textId="5615971F" w:rsidR="000514F8" w:rsidRPr="00140C60" w:rsidRDefault="00B455D7" w:rsidP="00BC6644">
      <w:pPr>
        <w:pStyle w:val="2"/>
      </w:pPr>
      <w:r>
        <w:t>The second reason is that v</w:t>
      </w:r>
      <w:r w:rsidR="00BC6644">
        <w:t>aluable spectrum desperately required by the Tier-1 operators wil</w:t>
      </w:r>
      <w:r w:rsidR="000514F8">
        <w:t>l</w:t>
      </w:r>
      <w:r w:rsidR="00BC6644">
        <w:t xml:space="preserve"> be assigned to Tier-2 operators who </w:t>
      </w:r>
      <w:r w:rsidR="000514F8">
        <w:t>may</w:t>
      </w:r>
      <w:r w:rsidR="00BC6644">
        <w:t xml:space="preserve"> not be </w:t>
      </w:r>
      <w:proofErr w:type="gramStart"/>
      <w:r w:rsidR="00BC6644">
        <w:t>in a position</w:t>
      </w:r>
      <w:proofErr w:type="gramEnd"/>
      <w:r w:rsidR="00BC6644">
        <w:t xml:space="preserve"> to fully utilise </w:t>
      </w:r>
      <w:r w:rsidR="000514F8">
        <w:t>it</w:t>
      </w:r>
      <w:r w:rsidR="00BC6644">
        <w:t xml:space="preserve">. </w:t>
      </w:r>
      <w:r w:rsidR="000F2436">
        <w:t xml:space="preserve"> The</w:t>
      </w:r>
      <w:r w:rsidR="000F2436" w:rsidRPr="00356E7B">
        <w:t xml:space="preserve"> public will not derive the</w:t>
      </w:r>
      <w:r w:rsidR="007471A1">
        <w:t xml:space="preserve"> full</w:t>
      </w:r>
      <w:r w:rsidR="000F2436" w:rsidRPr="00356E7B">
        <w:t xml:space="preserve"> benefit of </w:t>
      </w:r>
      <w:r w:rsidR="007471A1">
        <w:t xml:space="preserve">the newly released spectrum - </w:t>
      </w:r>
      <w:proofErr w:type="gramStart"/>
      <w:r w:rsidR="007471A1">
        <w:t xml:space="preserve">and in particular, </w:t>
      </w:r>
      <w:r w:rsidR="000F2436" w:rsidRPr="00356E7B">
        <w:t>cheaper</w:t>
      </w:r>
      <w:proofErr w:type="gramEnd"/>
      <w:r w:rsidR="000F2436" w:rsidRPr="00356E7B">
        <w:t xml:space="preserve"> and more efficient services</w:t>
      </w:r>
      <w:r w:rsidR="000F2436">
        <w:t xml:space="preserve">. </w:t>
      </w:r>
      <w:r w:rsidR="00136B9B">
        <w:t xml:space="preserve"> </w:t>
      </w:r>
      <w:r w:rsidR="000514F8">
        <w:t xml:space="preserve">In contrast, the Tier-1 </w:t>
      </w:r>
      <w:r w:rsidR="000514F8">
        <w:rPr>
          <w:lang w:val="en-ZA" w:eastAsia="en-GB"/>
        </w:rPr>
        <w:t xml:space="preserve">operators with larger market-share and network of sites are guaranteed to derive </w:t>
      </w:r>
      <w:r>
        <w:rPr>
          <w:lang w:val="en-ZA" w:eastAsia="en-GB"/>
        </w:rPr>
        <w:t xml:space="preserve">the </w:t>
      </w:r>
      <w:r w:rsidR="000514F8">
        <w:rPr>
          <w:lang w:val="en-ZA" w:eastAsia="en-GB"/>
        </w:rPr>
        <w:t xml:space="preserve">maximum </w:t>
      </w:r>
      <w:r w:rsidR="000514F8" w:rsidRPr="004B554B">
        <w:rPr>
          <w:lang w:val="en-ZA" w:eastAsia="en-GB"/>
        </w:rPr>
        <w:t xml:space="preserve">socio-economic value </w:t>
      </w:r>
      <w:r w:rsidR="000514F8">
        <w:rPr>
          <w:lang w:val="en-ZA" w:eastAsia="en-GB"/>
        </w:rPr>
        <w:t>from</w:t>
      </w:r>
      <w:r w:rsidR="000514F8" w:rsidRPr="004B554B">
        <w:rPr>
          <w:lang w:val="en-ZA" w:eastAsia="en-GB"/>
        </w:rPr>
        <w:t xml:space="preserve"> </w:t>
      </w:r>
      <w:r w:rsidR="000514F8" w:rsidRPr="004B554B">
        <w:rPr>
          <w:lang w:val="en-ZA" w:eastAsia="en-GB"/>
        </w:rPr>
        <w:lastRenderedPageBreak/>
        <w:t xml:space="preserve">spectrum </w:t>
      </w:r>
      <w:r w:rsidR="000514F8">
        <w:rPr>
          <w:lang w:val="en-ZA" w:eastAsia="en-GB"/>
        </w:rPr>
        <w:t>by ensuring that</w:t>
      </w:r>
      <w:r w:rsidR="000514F8" w:rsidRPr="004B554B">
        <w:rPr>
          <w:lang w:val="en-ZA" w:eastAsia="en-GB"/>
        </w:rPr>
        <w:t xml:space="preserve"> spectrum</w:t>
      </w:r>
      <w:r w:rsidR="000514F8">
        <w:rPr>
          <w:lang w:val="en-ZA" w:eastAsia="en-GB"/>
        </w:rPr>
        <w:t xml:space="preserve"> is fully utilised and</w:t>
      </w:r>
      <w:r w:rsidR="000514F8" w:rsidRPr="004B554B">
        <w:rPr>
          <w:lang w:val="en-ZA" w:eastAsia="en-GB"/>
        </w:rPr>
        <w:t xml:space="preserve"> provides the greatest level of coverage</w:t>
      </w:r>
      <w:r w:rsidR="000514F8">
        <w:rPr>
          <w:lang w:val="en-ZA" w:eastAsia="en-GB"/>
        </w:rPr>
        <w:t xml:space="preserve"> to the population</w:t>
      </w:r>
      <w:r w:rsidR="00DD3849">
        <w:rPr>
          <w:lang w:val="en-ZA" w:eastAsia="en-GB"/>
        </w:rPr>
        <w:t>.</w:t>
      </w:r>
    </w:p>
    <w:p w14:paraId="1FC738CC" w14:textId="6A85BFFE" w:rsidR="000F2436" w:rsidRDefault="00B455D7" w:rsidP="00BC6644">
      <w:pPr>
        <w:pStyle w:val="2"/>
      </w:pPr>
      <w:r>
        <w:t>The third reason is that the</w:t>
      </w:r>
      <w:r w:rsidR="00DD3849">
        <w:t xml:space="preserve"> award of spectrum to </w:t>
      </w:r>
      <w:r>
        <w:t>operators</w:t>
      </w:r>
      <w:r w:rsidR="00DD3849">
        <w:t xml:space="preserve"> who need it most </w:t>
      </w:r>
      <w:r w:rsidR="005E7BF6">
        <w:t>would</w:t>
      </w:r>
      <w:r w:rsidR="00DD3849">
        <w:t xml:space="preserve"> boost investment in infrastructure. </w:t>
      </w:r>
      <w:r w:rsidR="00E17649">
        <w:t xml:space="preserve"> </w:t>
      </w:r>
      <w:r w:rsidR="000F2436" w:rsidRPr="00356E7B">
        <w:t xml:space="preserve">In November 2019, MTN made a pledge to invest R50 billion into network infrastructure over the next </w:t>
      </w:r>
      <w:r w:rsidR="000F2436">
        <w:t>five</w:t>
      </w:r>
      <w:r w:rsidR="000F2436" w:rsidRPr="00356E7B">
        <w:t xml:space="preserve"> years. </w:t>
      </w:r>
      <w:r w:rsidR="00E17649">
        <w:t xml:space="preserve"> </w:t>
      </w:r>
      <w:r>
        <w:t>This pledge was</w:t>
      </w:r>
      <w:r w:rsidR="000F2436" w:rsidRPr="00356E7B">
        <w:t xml:space="preserve"> made on the understanding and expectation that </w:t>
      </w:r>
      <w:r w:rsidR="003979D9">
        <w:t xml:space="preserve">the </w:t>
      </w:r>
      <w:r w:rsidR="000F2436" w:rsidRPr="00356E7B">
        <w:t>new spectrum allocation process would present a fair opportunity for MTN to bid for viable spectrum and enable the roll out of 5G network infrastructure</w:t>
      </w:r>
      <w:r w:rsidR="000F2436">
        <w:t>.  In the absence of spectrum in the 3500MHz band</w:t>
      </w:r>
      <w:r>
        <w:t>,</w:t>
      </w:r>
      <w:r w:rsidR="000F2436">
        <w:t xml:space="preserve"> </w:t>
      </w:r>
      <w:r w:rsidR="00DD3849">
        <w:t>the</w:t>
      </w:r>
      <w:r w:rsidR="000F2436">
        <w:t xml:space="preserve"> investment in infrastructure </w:t>
      </w:r>
      <w:r w:rsidR="00DD3849">
        <w:t xml:space="preserve">on this scale </w:t>
      </w:r>
      <w:r w:rsidR="000F2436">
        <w:t xml:space="preserve">is unlikely to proceed. </w:t>
      </w:r>
    </w:p>
    <w:p w14:paraId="76A01D2E" w14:textId="4D789DF1" w:rsidR="005C392B" w:rsidRDefault="00B455D7" w:rsidP="00140C60">
      <w:pPr>
        <w:pStyle w:val="1"/>
      </w:pPr>
      <w:proofErr w:type="gramStart"/>
      <w:r>
        <w:t>All of</w:t>
      </w:r>
      <w:proofErr w:type="gramEnd"/>
      <w:r>
        <w:t xml:space="preserve"> these considerations are simply ignored by ICASA.  </w:t>
      </w:r>
      <w:r w:rsidR="005C392B">
        <w:t xml:space="preserve">When asked whether it considered the extent to which and </w:t>
      </w:r>
      <w:r w:rsidR="005E7BF6">
        <w:t xml:space="preserve">the </w:t>
      </w:r>
      <w:r w:rsidR="005C392B">
        <w:t xml:space="preserve">efficiency with which Tier-2 operators employ the spectrum assigned to them, ICASA </w:t>
      </w:r>
      <w:r>
        <w:t xml:space="preserve">stated </w:t>
      </w:r>
      <w:r w:rsidR="005C392B">
        <w:t>that that it “</w:t>
      </w:r>
      <w:r w:rsidR="005C392B" w:rsidRPr="00140C60">
        <w:rPr>
          <w:i/>
          <w:iCs w:val="0"/>
        </w:rPr>
        <w:t>was more concerned about the competition post the auction</w:t>
      </w:r>
      <w:r w:rsidR="005C392B">
        <w:t>” and referred broadly to other obligations imposed by the ITA. (Response to Query 161, p52, Response Document)</w:t>
      </w:r>
    </w:p>
    <w:p w14:paraId="0898CAB2" w14:textId="5F6ADD07" w:rsidR="004B0ACA" w:rsidRDefault="00996610">
      <w:pPr>
        <w:pStyle w:val="Heading1"/>
      </w:pPr>
      <w:bookmarkStart w:id="12" w:name="_Toc62222147"/>
      <w:r>
        <w:t>REVIEW GROUNDS</w:t>
      </w:r>
      <w:r w:rsidR="00CC0184">
        <w:t xml:space="preserve">: </w:t>
      </w:r>
      <w:r w:rsidR="004B0ACA">
        <w:t>the OPERATOR CATEGORISATION</w:t>
      </w:r>
      <w:bookmarkEnd w:id="12"/>
    </w:p>
    <w:p w14:paraId="5D9FE4C7" w14:textId="6DFB9307" w:rsidR="007D43E1" w:rsidRPr="003D66BE" w:rsidRDefault="007D43E1" w:rsidP="001951A1">
      <w:pPr>
        <w:pStyle w:val="1"/>
        <w:rPr>
          <w:szCs w:val="24"/>
          <w:lang w:val="en-ZA" w:eastAsia="en-GB"/>
        </w:rPr>
      </w:pPr>
      <w:r w:rsidRPr="00140C60">
        <w:rPr>
          <w:szCs w:val="24"/>
          <w:lang w:val="en-ZA" w:eastAsia="en-GB"/>
        </w:rPr>
        <w:t xml:space="preserve">Against the background set out above, I turn now to </w:t>
      </w:r>
      <w:r w:rsidR="005E7BF6">
        <w:rPr>
          <w:szCs w:val="24"/>
          <w:lang w:val="en-ZA" w:eastAsia="en-GB"/>
        </w:rPr>
        <w:t xml:space="preserve">set out </w:t>
      </w:r>
      <w:r w:rsidRPr="00140C60">
        <w:rPr>
          <w:szCs w:val="24"/>
          <w:lang w:val="en-ZA" w:eastAsia="en-GB"/>
        </w:rPr>
        <w:t>the basis on which MTN challenges the legality of the Operator Categorisation and the Opt-In Scheme.</w:t>
      </w:r>
    </w:p>
    <w:p w14:paraId="786EBC31" w14:textId="2D5ED7CA" w:rsidR="00BE6C3C" w:rsidRPr="00844B93" w:rsidRDefault="00D6331C" w:rsidP="001951A1">
      <w:pPr>
        <w:pStyle w:val="1"/>
        <w:rPr>
          <w:rFonts w:ascii="Calibri" w:hAnsi="Calibri" w:cs="Calibri"/>
          <w:sz w:val="22"/>
          <w:lang w:val="en-ZA" w:eastAsia="en-GB"/>
        </w:rPr>
      </w:pPr>
      <w:r w:rsidRPr="00745CB4">
        <w:rPr>
          <w:lang w:val="en-ZA" w:eastAsia="en-GB"/>
        </w:rPr>
        <w:t>In prayer 2</w:t>
      </w:r>
      <w:r w:rsidR="00C717B5" w:rsidRPr="00745CB4">
        <w:rPr>
          <w:lang w:val="en-ZA" w:eastAsia="en-GB"/>
        </w:rPr>
        <w:t>.1</w:t>
      </w:r>
      <w:r w:rsidRPr="00745CB4">
        <w:rPr>
          <w:lang w:val="en-ZA" w:eastAsia="en-GB"/>
        </w:rPr>
        <w:t xml:space="preserve"> of the notice of motion, MTN seeks an order reviewing and setting aside ICASA’s decision to </w:t>
      </w:r>
      <w:r w:rsidRPr="00D6331C">
        <w:rPr>
          <w:szCs w:val="24"/>
        </w:rPr>
        <w:t xml:space="preserve">categorise operators </w:t>
      </w:r>
      <w:r w:rsidRPr="00C717B5">
        <w:rPr>
          <w:szCs w:val="24"/>
        </w:rPr>
        <w:t>into</w:t>
      </w:r>
      <w:r w:rsidRPr="00844B93">
        <w:rPr>
          <w:szCs w:val="24"/>
        </w:rPr>
        <w:t xml:space="preserve"> Tier-1 and Tier-2 </w:t>
      </w:r>
      <w:r w:rsidRPr="00844B93">
        <w:rPr>
          <w:szCs w:val="24"/>
        </w:rPr>
        <w:lastRenderedPageBreak/>
        <w:t>operators</w:t>
      </w:r>
      <w:r w:rsidR="00745CB4">
        <w:rPr>
          <w:szCs w:val="24"/>
        </w:rPr>
        <w:t xml:space="preserve">, as those terms are defined in the ITA. </w:t>
      </w:r>
      <w:r w:rsidR="00B57A32">
        <w:rPr>
          <w:lang w:val="en-US"/>
        </w:rPr>
        <w:t xml:space="preserve">I submit that </w:t>
      </w:r>
      <w:r w:rsidR="00745CB4">
        <w:rPr>
          <w:lang w:val="en-US"/>
        </w:rPr>
        <w:t xml:space="preserve">the Operator Categorisation </w:t>
      </w:r>
      <w:r w:rsidR="00BE6C3C" w:rsidRPr="00C717B5">
        <w:rPr>
          <w:lang w:val="en-US"/>
        </w:rPr>
        <w:t xml:space="preserve">is unlawful </w:t>
      </w:r>
      <w:r w:rsidR="00745CB4">
        <w:rPr>
          <w:lang w:val="en-US"/>
        </w:rPr>
        <w:t xml:space="preserve">for the reasons </w:t>
      </w:r>
      <w:r w:rsidR="003C268C">
        <w:rPr>
          <w:lang w:val="en-US"/>
        </w:rPr>
        <w:t>set out below</w:t>
      </w:r>
      <w:r w:rsidR="00745CB4">
        <w:rPr>
          <w:lang w:val="en-US"/>
        </w:rPr>
        <w:t>.</w:t>
      </w:r>
    </w:p>
    <w:p w14:paraId="4B2A959B" w14:textId="6A05B6BE" w:rsidR="00BE6C3C" w:rsidRPr="00D365A4" w:rsidRDefault="00BE6C3C">
      <w:pPr>
        <w:pStyle w:val="Heading2"/>
        <w:rPr>
          <w:rFonts w:ascii="Calibri" w:hAnsi="Calibri" w:cs="Calibri"/>
          <w:sz w:val="22"/>
          <w:lang w:val="en-ZA" w:eastAsia="en-GB"/>
        </w:rPr>
      </w:pPr>
      <w:bookmarkStart w:id="13" w:name="_Toc62222148"/>
      <w:r>
        <w:rPr>
          <w:lang w:val="en-US"/>
        </w:rPr>
        <w:t>The definitions are impermissibly vague</w:t>
      </w:r>
      <w:bookmarkEnd w:id="13"/>
    </w:p>
    <w:p w14:paraId="3499022C" w14:textId="105F57A5" w:rsidR="00D365A4" w:rsidRPr="00E344B9" w:rsidRDefault="004B0ACA" w:rsidP="001951A1">
      <w:pPr>
        <w:pStyle w:val="1"/>
        <w:rPr>
          <w:rFonts w:ascii="Calibri" w:hAnsi="Calibri" w:cs="Calibri"/>
          <w:sz w:val="22"/>
          <w:lang w:val="en-ZA" w:eastAsia="en-GB"/>
        </w:rPr>
      </w:pPr>
      <w:r w:rsidRPr="004C7398">
        <w:rPr>
          <w:lang w:val="en-US"/>
        </w:rPr>
        <w:t xml:space="preserve">The definitions of </w:t>
      </w:r>
      <w:r w:rsidR="00745CB4">
        <w:rPr>
          <w:lang w:val="en-US"/>
        </w:rPr>
        <w:t>“</w:t>
      </w:r>
      <w:r w:rsidRPr="004C7398">
        <w:rPr>
          <w:lang w:val="en-US"/>
        </w:rPr>
        <w:t>Tier</w:t>
      </w:r>
      <w:r w:rsidR="00745CB4">
        <w:rPr>
          <w:lang w:val="en-US"/>
        </w:rPr>
        <w:t>-</w:t>
      </w:r>
      <w:r w:rsidRPr="004C7398">
        <w:rPr>
          <w:lang w:val="en-US"/>
        </w:rPr>
        <w:t xml:space="preserve">1 </w:t>
      </w:r>
      <w:r w:rsidR="00745CB4">
        <w:rPr>
          <w:lang w:val="en-US"/>
        </w:rPr>
        <w:t xml:space="preserve">operator” </w:t>
      </w:r>
      <w:r w:rsidRPr="004C7398">
        <w:rPr>
          <w:lang w:val="en-US"/>
        </w:rPr>
        <w:t xml:space="preserve">and </w:t>
      </w:r>
      <w:r w:rsidR="00745CB4">
        <w:rPr>
          <w:lang w:val="en-US"/>
        </w:rPr>
        <w:t>“Tier-</w:t>
      </w:r>
      <w:r w:rsidRPr="004C7398">
        <w:rPr>
          <w:lang w:val="en-US"/>
        </w:rPr>
        <w:t>2 operator</w:t>
      </w:r>
      <w:r w:rsidR="00745CB4">
        <w:rPr>
          <w:lang w:val="en-US"/>
        </w:rPr>
        <w:t xml:space="preserve">” </w:t>
      </w:r>
      <w:r w:rsidRPr="004C7398">
        <w:rPr>
          <w:lang w:val="en-US"/>
        </w:rPr>
        <w:t xml:space="preserve">are </w:t>
      </w:r>
      <w:r w:rsidR="00745CB4">
        <w:rPr>
          <w:lang w:val="en-US"/>
        </w:rPr>
        <w:t xml:space="preserve">impermissibly </w:t>
      </w:r>
      <w:r w:rsidRPr="004C7398">
        <w:rPr>
          <w:lang w:val="en-US"/>
        </w:rPr>
        <w:t>vague</w:t>
      </w:r>
      <w:r w:rsidR="00745CB4">
        <w:rPr>
          <w:lang w:val="en-US"/>
        </w:rPr>
        <w:t>.  P</w:t>
      </w:r>
      <w:r w:rsidRPr="004C7398">
        <w:rPr>
          <w:lang w:val="en-US"/>
        </w:rPr>
        <w:t xml:space="preserve">rospective bidders cannot be expected to understand and apply </w:t>
      </w:r>
      <w:r w:rsidR="00023BEC">
        <w:rPr>
          <w:lang w:val="en-US"/>
        </w:rPr>
        <w:t>those definitions</w:t>
      </w:r>
      <w:r w:rsidRPr="004C7398">
        <w:rPr>
          <w:lang w:val="en-US"/>
        </w:rPr>
        <w:t xml:space="preserve">, or </w:t>
      </w:r>
      <w:r w:rsidR="006061B8">
        <w:rPr>
          <w:lang w:val="en-US"/>
        </w:rPr>
        <w:t xml:space="preserve">to </w:t>
      </w:r>
      <w:r w:rsidRPr="004C7398">
        <w:rPr>
          <w:lang w:val="en-US"/>
        </w:rPr>
        <w:t xml:space="preserve">anticipate how ICASA intends to apply </w:t>
      </w:r>
      <w:r w:rsidR="00CC0184">
        <w:rPr>
          <w:lang w:val="en-US"/>
        </w:rPr>
        <w:t>them</w:t>
      </w:r>
      <w:r w:rsidRPr="004C7398">
        <w:rPr>
          <w:lang w:val="en-US"/>
        </w:rPr>
        <w:t xml:space="preserve">.  </w:t>
      </w:r>
      <w:r w:rsidR="00745CB4">
        <w:rPr>
          <w:lang w:val="en-US"/>
        </w:rPr>
        <w:t xml:space="preserve"> I have explained the reasons for this above.</w:t>
      </w:r>
    </w:p>
    <w:p w14:paraId="2FD4037C" w14:textId="2A893B92" w:rsidR="006061B8" w:rsidRPr="00E344B9" w:rsidRDefault="006061B8" w:rsidP="001951A1">
      <w:pPr>
        <w:pStyle w:val="1"/>
        <w:rPr>
          <w:rFonts w:ascii="Calibri" w:hAnsi="Calibri" w:cs="Calibri"/>
          <w:sz w:val="22"/>
          <w:lang w:val="en-ZA" w:eastAsia="en-GB"/>
        </w:rPr>
      </w:pPr>
      <w:r>
        <w:rPr>
          <w:lang w:val="en-US"/>
        </w:rPr>
        <w:t xml:space="preserve">Even if the definitions have an intelligible meaning (which is denied), it </w:t>
      </w:r>
      <w:r w:rsidR="005E7BF6">
        <w:rPr>
          <w:lang w:val="en-US"/>
        </w:rPr>
        <w:t xml:space="preserve">would still be </w:t>
      </w:r>
      <w:r>
        <w:rPr>
          <w:lang w:val="en-US"/>
        </w:rPr>
        <w:t xml:space="preserve">impossible to understand how they </w:t>
      </w:r>
      <w:r w:rsidR="007D43E1">
        <w:rPr>
          <w:lang w:val="en-US"/>
        </w:rPr>
        <w:t xml:space="preserve">must </w:t>
      </w:r>
      <w:r w:rsidR="00CC0184">
        <w:rPr>
          <w:lang w:val="en-US"/>
        </w:rPr>
        <w:t xml:space="preserve">be </w:t>
      </w:r>
      <w:r>
        <w:rPr>
          <w:lang w:val="en-US"/>
        </w:rPr>
        <w:t>applied</w:t>
      </w:r>
      <w:r w:rsidR="00023BEC">
        <w:rPr>
          <w:lang w:val="en-US"/>
        </w:rPr>
        <w:t xml:space="preserve"> in practice</w:t>
      </w:r>
      <w:r>
        <w:rPr>
          <w:lang w:val="en-US"/>
        </w:rPr>
        <w:t xml:space="preserve">.  For example, what </w:t>
      </w:r>
      <w:r w:rsidR="00CC0184">
        <w:rPr>
          <w:lang w:val="en-US"/>
        </w:rPr>
        <w:t xml:space="preserve">is the source of the </w:t>
      </w:r>
      <w:r w:rsidR="005E7BF6">
        <w:rPr>
          <w:lang w:val="en-US"/>
        </w:rPr>
        <w:t xml:space="preserve">information </w:t>
      </w:r>
      <w:r w:rsidR="00CC0184">
        <w:rPr>
          <w:lang w:val="en-US"/>
        </w:rPr>
        <w:t xml:space="preserve">that </w:t>
      </w:r>
      <w:r>
        <w:rPr>
          <w:lang w:val="en-US"/>
        </w:rPr>
        <w:t xml:space="preserve">must be used to determine the retail market share of an operator in every municipality in the country?  Is the </w:t>
      </w:r>
      <w:r w:rsidR="00CC0184">
        <w:rPr>
          <w:lang w:val="en-US"/>
        </w:rPr>
        <w:t xml:space="preserve">“retail </w:t>
      </w:r>
      <w:r>
        <w:rPr>
          <w:lang w:val="en-US"/>
        </w:rPr>
        <w:t>market share</w:t>
      </w:r>
      <w:r w:rsidR="00CC0184">
        <w:rPr>
          <w:lang w:val="en-US"/>
        </w:rPr>
        <w:t>”</w:t>
      </w:r>
      <w:r>
        <w:rPr>
          <w:lang w:val="en-US"/>
        </w:rPr>
        <w:t xml:space="preserve"> limited to voice or does it include voice and data?  Is the </w:t>
      </w:r>
      <w:r w:rsidR="00CC0184">
        <w:rPr>
          <w:lang w:val="en-US"/>
        </w:rPr>
        <w:t xml:space="preserve">“retail </w:t>
      </w:r>
      <w:r>
        <w:rPr>
          <w:lang w:val="en-US"/>
        </w:rPr>
        <w:t>market share</w:t>
      </w:r>
      <w:r w:rsidR="00CC0184">
        <w:rPr>
          <w:lang w:val="en-US"/>
        </w:rPr>
        <w:t>”</w:t>
      </w:r>
      <w:r>
        <w:rPr>
          <w:lang w:val="en-US"/>
        </w:rPr>
        <w:t xml:space="preserve"> based on </w:t>
      </w:r>
      <w:r w:rsidR="00CC0184">
        <w:rPr>
          <w:lang w:val="en-US"/>
        </w:rPr>
        <w:t xml:space="preserve">the </w:t>
      </w:r>
      <w:r>
        <w:rPr>
          <w:lang w:val="en-US"/>
        </w:rPr>
        <w:t>number of subscribers or on revenue</w:t>
      </w:r>
      <w:r w:rsidR="00023BEC">
        <w:rPr>
          <w:lang w:val="en-US"/>
        </w:rPr>
        <w:t xml:space="preserve"> earned</w:t>
      </w:r>
      <w:r>
        <w:rPr>
          <w:lang w:val="en-US"/>
        </w:rPr>
        <w:t xml:space="preserve">?  </w:t>
      </w:r>
      <w:r w:rsidR="003C268C">
        <w:rPr>
          <w:lang w:val="en-US"/>
        </w:rPr>
        <w:t xml:space="preserve">Finally, on </w:t>
      </w:r>
      <w:r>
        <w:rPr>
          <w:lang w:val="en-US"/>
        </w:rPr>
        <w:t xml:space="preserve">what date </w:t>
      </w:r>
      <w:r w:rsidR="003C268C">
        <w:rPr>
          <w:lang w:val="en-US"/>
        </w:rPr>
        <w:t xml:space="preserve">or dates </w:t>
      </w:r>
      <w:r>
        <w:rPr>
          <w:lang w:val="en-US"/>
        </w:rPr>
        <w:t xml:space="preserve">must </w:t>
      </w:r>
      <w:r w:rsidR="00CC0184">
        <w:rPr>
          <w:lang w:val="en-US"/>
        </w:rPr>
        <w:t xml:space="preserve">the “retail </w:t>
      </w:r>
      <w:r>
        <w:rPr>
          <w:lang w:val="en-US"/>
        </w:rPr>
        <w:t>market shar</w:t>
      </w:r>
      <w:r w:rsidR="00CC0184">
        <w:rPr>
          <w:lang w:val="en-US"/>
        </w:rPr>
        <w:t>e”</w:t>
      </w:r>
      <w:r>
        <w:rPr>
          <w:lang w:val="en-US"/>
        </w:rPr>
        <w:t xml:space="preserve"> be calculated?</w:t>
      </w:r>
      <w:r w:rsidR="003C268C">
        <w:rPr>
          <w:lang w:val="en-US"/>
        </w:rPr>
        <w:t xml:space="preserve">  Despite repeated requests, ICASA has not answered any of these questions.</w:t>
      </w:r>
    </w:p>
    <w:p w14:paraId="130DD950" w14:textId="6DBF2C0C" w:rsidR="00877D54" w:rsidRPr="00BE6C3C" w:rsidRDefault="00877D54" w:rsidP="001951A1">
      <w:pPr>
        <w:pStyle w:val="1"/>
      </w:pPr>
      <w:r w:rsidRPr="00877D54">
        <w:t xml:space="preserve">The confusion and contradictions in the </w:t>
      </w:r>
      <w:r>
        <w:t>definition</w:t>
      </w:r>
      <w:r w:rsidRPr="00877D54">
        <w:t xml:space="preserve">s are prejudicial to potential </w:t>
      </w:r>
      <w:r>
        <w:t>bidders</w:t>
      </w:r>
      <w:r w:rsidRPr="00877D54">
        <w:t xml:space="preserve">, not only because they are cumbersome and time-consuming, but because they allow </w:t>
      </w:r>
      <w:r>
        <w:t>ICASA</w:t>
      </w:r>
      <w:r w:rsidR="009606A4">
        <w:t xml:space="preserve"> to</w:t>
      </w:r>
      <w:r>
        <w:t xml:space="preserve"> </w:t>
      </w:r>
      <w:r w:rsidRPr="00877D54">
        <w:t>exercise its discretion and powers in ways that are arbitrary and discriminatory.</w:t>
      </w:r>
    </w:p>
    <w:p w14:paraId="56115980" w14:textId="214FDB41" w:rsidR="004B0ACA" w:rsidRPr="004C7398" w:rsidRDefault="004B0ACA">
      <w:pPr>
        <w:pStyle w:val="Heading2"/>
        <w:rPr>
          <w:lang w:val="en-ZA" w:eastAsia="en-GB"/>
        </w:rPr>
      </w:pPr>
      <w:bookmarkStart w:id="14" w:name="_Toc62222149"/>
      <w:r>
        <w:rPr>
          <w:lang w:val="en-ZA" w:eastAsia="en-GB"/>
        </w:rPr>
        <w:t xml:space="preserve">The categorisation is </w:t>
      </w:r>
      <w:r w:rsidR="00BE6C3C">
        <w:rPr>
          <w:lang w:val="en-ZA" w:eastAsia="en-GB"/>
        </w:rPr>
        <w:t>arbitrary</w:t>
      </w:r>
      <w:bookmarkEnd w:id="14"/>
    </w:p>
    <w:p w14:paraId="7D63F95D" w14:textId="1875C643" w:rsidR="00695143" w:rsidRPr="00695143" w:rsidRDefault="00695143" w:rsidP="00695143">
      <w:pPr>
        <w:rPr>
          <w:i/>
          <w:iCs/>
        </w:rPr>
      </w:pPr>
      <w:r w:rsidRPr="00695143">
        <w:rPr>
          <w:i/>
          <w:iCs/>
        </w:rPr>
        <w:t>Ten municipalities</w:t>
      </w:r>
    </w:p>
    <w:p w14:paraId="1F81B2CB" w14:textId="5A09CAA9" w:rsidR="00BE6C3C" w:rsidRPr="006061B8" w:rsidRDefault="004B0ACA" w:rsidP="001951A1">
      <w:pPr>
        <w:pStyle w:val="1"/>
        <w:rPr>
          <w:b/>
          <w:bCs/>
        </w:rPr>
      </w:pPr>
      <w:r w:rsidRPr="00AC098B">
        <w:lastRenderedPageBreak/>
        <w:t>The definition of Tier</w:t>
      </w:r>
      <w:r w:rsidR="00745CB4">
        <w:t>-1</w:t>
      </w:r>
      <w:r w:rsidRPr="00AC098B">
        <w:t xml:space="preserve"> operators is based on</w:t>
      </w:r>
      <w:r w:rsidR="00745CB4">
        <w:t xml:space="preserve"> retail</w:t>
      </w:r>
      <w:r w:rsidRPr="00AC098B">
        <w:t xml:space="preserve"> market share</w:t>
      </w:r>
      <w:r w:rsidR="00745CB4">
        <w:t>s</w:t>
      </w:r>
      <w:r w:rsidRPr="00AC098B">
        <w:t xml:space="preserve"> in </w:t>
      </w:r>
      <w:r w:rsidR="003760BD" w:rsidRPr="00E344B9">
        <w:rPr>
          <w:u w:val="single"/>
        </w:rPr>
        <w:t xml:space="preserve">ten </w:t>
      </w:r>
      <w:r w:rsidRPr="00E344B9">
        <w:rPr>
          <w:u w:val="single"/>
        </w:rPr>
        <w:t>municipalities</w:t>
      </w:r>
      <w:r w:rsidRPr="00AC098B">
        <w:t>.</w:t>
      </w:r>
      <w:r w:rsidR="003C268C">
        <w:t xml:space="preserve"> </w:t>
      </w:r>
      <w:r w:rsidR="009606A4">
        <w:t xml:space="preserve"> </w:t>
      </w:r>
      <w:r w:rsidR="003C268C">
        <w:t>T</w:t>
      </w:r>
      <w:r w:rsidR="003760BD">
        <w:t xml:space="preserve">he use of a threshold of ten municipalities is entirely arbitrary.  </w:t>
      </w:r>
      <w:r w:rsidR="009216DA">
        <w:t>According to ICASA, t</w:t>
      </w:r>
      <w:r w:rsidRPr="00AC098B">
        <w:t xml:space="preserve">here are 234 municipalities in </w:t>
      </w:r>
      <w:r w:rsidR="00BE6C3C">
        <w:t>South Africa</w:t>
      </w:r>
      <w:r w:rsidR="006061B8">
        <w:t xml:space="preserve">, and there is no rational basis for selecting ten municipalities as being the relevant </w:t>
      </w:r>
      <w:r w:rsidR="003C268C">
        <w:t>threshold</w:t>
      </w:r>
      <w:r w:rsidR="006061B8">
        <w:t xml:space="preserve">.  </w:t>
      </w:r>
      <w:r w:rsidR="00745CB4">
        <w:t xml:space="preserve">A </w:t>
      </w:r>
      <w:r w:rsidRPr="00AC098B">
        <w:t xml:space="preserve">45% retail market share in 4% of the country </w:t>
      </w:r>
      <w:r w:rsidR="00745CB4">
        <w:t xml:space="preserve">says nothing </w:t>
      </w:r>
      <w:r w:rsidRPr="00AC098B">
        <w:t xml:space="preserve">about the competitive position or wholesale credibility of an operator, </w:t>
      </w:r>
      <w:r w:rsidR="007D43E1">
        <w:t>or</w:t>
      </w:r>
      <w:r w:rsidR="007D43E1" w:rsidRPr="00AC098B">
        <w:t xml:space="preserve"> </w:t>
      </w:r>
      <w:r w:rsidRPr="00AC098B">
        <w:t xml:space="preserve">why such an operator should be excluded from </w:t>
      </w:r>
      <w:r w:rsidR="00BE6C3C">
        <w:t>the Opt-in Auction Round</w:t>
      </w:r>
      <w:r w:rsidRPr="00AC098B">
        <w:t xml:space="preserve">. </w:t>
      </w:r>
    </w:p>
    <w:p w14:paraId="3CAC8E2A" w14:textId="3CBCB336" w:rsidR="00BE6C3C" w:rsidRPr="00BE6C3C" w:rsidRDefault="00BE6C3C" w:rsidP="001951A1">
      <w:pPr>
        <w:pStyle w:val="1"/>
        <w:rPr>
          <w:b/>
          <w:bCs/>
        </w:rPr>
      </w:pPr>
      <w:r>
        <w:t xml:space="preserve">There is nothing in the Response Document or </w:t>
      </w:r>
      <w:r w:rsidR="007D43E1">
        <w:t xml:space="preserve">the </w:t>
      </w:r>
      <w:r>
        <w:t xml:space="preserve">Reasons Document that explains the basis for ICASA’s decision to use </w:t>
      </w:r>
      <w:r w:rsidR="003C268C">
        <w:t xml:space="preserve">ten </w:t>
      </w:r>
      <w:r>
        <w:t xml:space="preserve">municipalities as the threshold in the definitions. </w:t>
      </w:r>
    </w:p>
    <w:p w14:paraId="375F1D5A" w14:textId="3C30E5CC" w:rsidR="00695143" w:rsidRPr="00695143" w:rsidRDefault="00695143" w:rsidP="00E344B9">
      <w:pPr>
        <w:keepNext/>
        <w:rPr>
          <w:i/>
          <w:iCs/>
        </w:rPr>
      </w:pPr>
      <w:r w:rsidRPr="00695143">
        <w:rPr>
          <w:i/>
          <w:iCs/>
        </w:rPr>
        <w:t>Use of retail market share</w:t>
      </w:r>
      <w:r w:rsidR="00745CB4">
        <w:rPr>
          <w:i/>
          <w:iCs/>
        </w:rPr>
        <w:t>s</w:t>
      </w:r>
    </w:p>
    <w:p w14:paraId="45AEC8C1" w14:textId="68310F16" w:rsidR="00695143" w:rsidRDefault="00745CB4" w:rsidP="001951A1">
      <w:pPr>
        <w:pStyle w:val="1"/>
      </w:pPr>
      <w:r>
        <w:t xml:space="preserve">ICASA has explained that the objective of the Opt-In round and spectrum floors is to ensure that at least five credible national </w:t>
      </w:r>
      <w:r w:rsidRPr="00E344B9">
        <w:rPr>
          <w:u w:val="single"/>
        </w:rPr>
        <w:t>wholesale</w:t>
      </w:r>
      <w:r>
        <w:t xml:space="preserve"> operators emerge after the ITA auction.  However, the definitions of Tier-1 operators and Tier-2 operators rely </w:t>
      </w:r>
      <w:r w:rsidR="00695143">
        <w:t xml:space="preserve">on </w:t>
      </w:r>
      <w:r w:rsidR="00695143" w:rsidRPr="00E344B9">
        <w:rPr>
          <w:u w:val="single"/>
        </w:rPr>
        <w:t>retail</w:t>
      </w:r>
      <w:r w:rsidR="00695143">
        <w:t xml:space="preserve"> market shares</w:t>
      </w:r>
      <w:r w:rsidR="006061B8">
        <w:t>.</w:t>
      </w:r>
    </w:p>
    <w:p w14:paraId="1D6BE397" w14:textId="203D562B" w:rsidR="007B5959" w:rsidRDefault="00A80FDB" w:rsidP="001951A1">
      <w:pPr>
        <w:pStyle w:val="1"/>
      </w:pPr>
      <w:r>
        <w:t xml:space="preserve">There is no link between </w:t>
      </w:r>
      <w:r w:rsidRPr="00E344B9">
        <w:rPr>
          <w:u w:val="single"/>
        </w:rPr>
        <w:t>retail</w:t>
      </w:r>
      <w:r>
        <w:t xml:space="preserve"> market share and the ability of an operator to be </w:t>
      </w:r>
      <w:r w:rsidR="006061B8">
        <w:t xml:space="preserve">a </w:t>
      </w:r>
      <w:r>
        <w:t xml:space="preserve">credible national </w:t>
      </w:r>
      <w:r w:rsidRPr="00E344B9">
        <w:rPr>
          <w:u w:val="single"/>
        </w:rPr>
        <w:t>wholesale</w:t>
      </w:r>
      <w:r w:rsidR="00745CB4">
        <w:t xml:space="preserve"> operator.</w:t>
      </w:r>
      <w:r w:rsidR="00E72618">
        <w:t xml:space="preserve">  </w:t>
      </w:r>
      <w:r w:rsidR="004B0ACA" w:rsidRPr="00AC098B">
        <w:t xml:space="preserve">An operator with </w:t>
      </w:r>
      <w:r w:rsidR="006061B8">
        <w:t xml:space="preserve">a </w:t>
      </w:r>
      <w:r w:rsidR="004B0ACA" w:rsidRPr="00AC098B">
        <w:t>low retail market share could well be a credible national wholesale</w:t>
      </w:r>
      <w:r w:rsidR="00E72618">
        <w:t xml:space="preserve"> operator</w:t>
      </w:r>
      <w:r w:rsidR="007B5959">
        <w:t xml:space="preserve">.  Indeed, ICASA accepts this in respect of the WOAN </w:t>
      </w:r>
      <w:r w:rsidR="00E72618">
        <w:t xml:space="preserve">– it regards the WOAN as a </w:t>
      </w:r>
      <w:r w:rsidR="007B5959">
        <w:t>credible national wholesale</w:t>
      </w:r>
      <w:r w:rsidR="00E72618">
        <w:t xml:space="preserve"> operator</w:t>
      </w:r>
      <w:r w:rsidR="007B5959">
        <w:t xml:space="preserve"> </w:t>
      </w:r>
      <w:proofErr w:type="gramStart"/>
      <w:r w:rsidR="007B5959">
        <w:t>despite the fact that</w:t>
      </w:r>
      <w:proofErr w:type="gramEnd"/>
      <w:r w:rsidR="007B5959">
        <w:t xml:space="preserve"> it will </w:t>
      </w:r>
      <w:r w:rsidR="006061B8">
        <w:t xml:space="preserve">have no </w:t>
      </w:r>
      <w:r w:rsidR="007B5959">
        <w:t>subscriber base</w:t>
      </w:r>
      <w:r w:rsidR="00E72618">
        <w:t xml:space="preserve"> at all.</w:t>
      </w:r>
    </w:p>
    <w:p w14:paraId="525AB4B8" w14:textId="18BEAA24" w:rsidR="00E72618" w:rsidRDefault="005A330D" w:rsidP="001951A1">
      <w:pPr>
        <w:pStyle w:val="1"/>
      </w:pPr>
      <w:r>
        <w:t xml:space="preserve">It is also unclear </w:t>
      </w:r>
      <w:r w:rsidR="00E72618">
        <w:t xml:space="preserve">on what basis </w:t>
      </w:r>
      <w:r>
        <w:t>ICASA has determined the retail market share</w:t>
      </w:r>
      <w:r w:rsidR="00E72618">
        <w:t>s</w:t>
      </w:r>
      <w:r>
        <w:t xml:space="preserve"> in each municipality in South Africa</w:t>
      </w:r>
      <w:r w:rsidR="00E72618">
        <w:t xml:space="preserve">, or the date on which this calculation was </w:t>
      </w:r>
      <w:r w:rsidR="00E72618">
        <w:lastRenderedPageBreak/>
        <w:t>supposedly done</w:t>
      </w:r>
      <w:r>
        <w:t xml:space="preserve">.  This data is likely to </w:t>
      </w:r>
      <w:r w:rsidR="006061B8">
        <w:t xml:space="preserve">change </w:t>
      </w:r>
      <w:proofErr w:type="gramStart"/>
      <w:r w:rsidR="006061B8">
        <w:t>on a d</w:t>
      </w:r>
      <w:r>
        <w:t>aily basis</w:t>
      </w:r>
      <w:proofErr w:type="gramEnd"/>
      <w:r>
        <w:t xml:space="preserve">.  The ITA gives no indication of the date </w:t>
      </w:r>
      <w:r w:rsidR="00E72618">
        <w:t>on which it must be determined whether an operator has a retail market share in excess of 45% in more than ten municipalities.</w:t>
      </w:r>
    </w:p>
    <w:p w14:paraId="3AF02A9C" w14:textId="66FE7419" w:rsidR="005A330D" w:rsidRDefault="005A330D" w:rsidP="00DD38E2">
      <w:pPr>
        <w:pStyle w:val="1"/>
      </w:pPr>
      <w:r>
        <w:t>Further</w:t>
      </w:r>
      <w:r w:rsidR="006061B8">
        <w:t xml:space="preserve"> </w:t>
      </w:r>
      <w:r>
        <w:t>and in any event, the distinction between Tier-1 and Tier-2 operators fails to have any regard to the existing spectrum holding of operators.</w:t>
      </w:r>
      <w:r w:rsidR="00650281">
        <w:t xml:space="preserve">  </w:t>
      </w:r>
      <w:r w:rsidR="00E72618">
        <w:t xml:space="preserve">It is irrational and unreasonable </w:t>
      </w:r>
      <w:r w:rsidR="007D43E1">
        <w:t xml:space="preserve">to proceed on the basis that </w:t>
      </w:r>
      <w:r w:rsidR="00E72618">
        <w:t xml:space="preserve">an operator might </w:t>
      </w:r>
      <w:r w:rsidR="00BD538A">
        <w:t xml:space="preserve">qualify as a </w:t>
      </w:r>
      <w:r w:rsidR="00E72618">
        <w:t xml:space="preserve">Tier-2 operator even </w:t>
      </w:r>
      <w:r w:rsidR="007054F9">
        <w:t>if</w:t>
      </w:r>
      <w:r w:rsidR="00E72618">
        <w:t xml:space="preserve"> it has massive spectrum holdings</w:t>
      </w:r>
      <w:r w:rsidR="00BD538A">
        <w:t xml:space="preserve"> that it is not using</w:t>
      </w:r>
      <w:r w:rsidR="00E72618">
        <w:t xml:space="preserve">.  </w:t>
      </w:r>
      <w:r w:rsidR="00E72618" w:rsidRPr="00AC098B">
        <w:t>In the UK, the exclusion of EE, Vodafone and O2 from the opt-in round was based on the size of their spectrum portfolios</w:t>
      </w:r>
      <w:r w:rsidR="00E72618">
        <w:t xml:space="preserve">, while </w:t>
      </w:r>
      <w:r w:rsidR="00E72618" w:rsidRPr="00AC098B">
        <w:t>H3G and new entrants qualified for the opt-in round based on their smaller (</w:t>
      </w:r>
      <w:r w:rsidR="00E72618">
        <w:t>or non-</w:t>
      </w:r>
      <w:r w:rsidR="00E72618" w:rsidRPr="00AC098B">
        <w:t xml:space="preserve">existent) </w:t>
      </w:r>
      <w:r w:rsidR="00E72618">
        <w:t xml:space="preserve">spectrum </w:t>
      </w:r>
      <w:r w:rsidR="00E72618" w:rsidRPr="00AC098B">
        <w:t>portfolios</w:t>
      </w:r>
      <w:r w:rsidR="00E72618">
        <w:t xml:space="preserve">.  </w:t>
      </w:r>
      <w:r w:rsidR="00650281">
        <w:t>This</w:t>
      </w:r>
      <w:r w:rsidR="00E72618">
        <w:rPr>
          <w:lang w:val="en-US"/>
        </w:rPr>
        <w:t xml:space="preserve"> provides another ground on which the Operator Categorisation is irrational.</w:t>
      </w:r>
    </w:p>
    <w:p w14:paraId="4CBCA5A0" w14:textId="756D14A7" w:rsidR="000817AF" w:rsidRPr="000817AF" w:rsidRDefault="000817AF" w:rsidP="000817AF">
      <w:pPr>
        <w:rPr>
          <w:i/>
          <w:iCs/>
        </w:rPr>
      </w:pPr>
      <w:r w:rsidRPr="000817AF">
        <w:rPr>
          <w:i/>
          <w:iCs/>
        </w:rPr>
        <w:t>Market share within a municipality</w:t>
      </w:r>
    </w:p>
    <w:p w14:paraId="27F37EE5" w14:textId="165DD5FC" w:rsidR="00E72618" w:rsidRDefault="00E72618" w:rsidP="001951A1">
      <w:pPr>
        <w:pStyle w:val="1"/>
        <w:rPr>
          <w:lang w:val="en-US"/>
        </w:rPr>
      </w:pPr>
      <w:r>
        <w:rPr>
          <w:lang w:val="en-US"/>
        </w:rPr>
        <w:t xml:space="preserve">The definitions of Tier-1 operators and Tier-2 operators depend on the market shares of </w:t>
      </w:r>
      <w:r w:rsidR="00592C10">
        <w:rPr>
          <w:lang w:val="en-US"/>
        </w:rPr>
        <w:t xml:space="preserve">Wholesale National Operators </w:t>
      </w:r>
      <w:r>
        <w:rPr>
          <w:lang w:val="en-US"/>
        </w:rPr>
        <w:t xml:space="preserve">in municipalities.  This approach is unreasonable and irrational because </w:t>
      </w:r>
      <w:r w:rsidR="00592C10">
        <w:rPr>
          <w:lang w:val="en-US"/>
        </w:rPr>
        <w:t xml:space="preserve">Wholesale National Operators participate </w:t>
      </w:r>
      <w:proofErr w:type="gramStart"/>
      <w:r w:rsidR="00730CEF">
        <w:rPr>
          <w:lang w:val="en-US"/>
        </w:rPr>
        <w:t>-</w:t>
      </w:r>
      <w:r w:rsidR="007054F9">
        <w:rPr>
          <w:lang w:val="en-US"/>
        </w:rPr>
        <w:t xml:space="preserve"> by definition -</w:t>
      </w:r>
      <w:r w:rsidR="00B227E3">
        <w:rPr>
          <w:lang w:val="en-US"/>
        </w:rPr>
        <w:t xml:space="preserve"> </w:t>
      </w:r>
      <w:r w:rsidR="00592C10">
        <w:rPr>
          <w:lang w:val="en-US"/>
        </w:rPr>
        <w:t>in</w:t>
      </w:r>
      <w:proofErr w:type="gramEnd"/>
      <w:r w:rsidR="00592C10">
        <w:rPr>
          <w:lang w:val="en-US"/>
        </w:rPr>
        <w:t xml:space="preserve"> a market that is </w:t>
      </w:r>
      <w:r w:rsidR="00592C10" w:rsidRPr="00E344B9">
        <w:rPr>
          <w:u w:val="single"/>
          <w:lang w:val="en-US"/>
        </w:rPr>
        <w:t>national</w:t>
      </w:r>
      <w:r w:rsidR="00592C10">
        <w:rPr>
          <w:lang w:val="en-US"/>
        </w:rPr>
        <w:t xml:space="preserve"> in ambit.</w:t>
      </w:r>
    </w:p>
    <w:p w14:paraId="11169A9F" w14:textId="28E6DACC" w:rsidR="00F6330C" w:rsidRPr="00592C10" w:rsidRDefault="00782611" w:rsidP="001951A1">
      <w:pPr>
        <w:pStyle w:val="1"/>
        <w:rPr>
          <w:lang w:val="en-US"/>
        </w:rPr>
      </w:pPr>
      <w:r w:rsidRPr="00592C10">
        <w:rPr>
          <w:lang w:val="en-US"/>
        </w:rPr>
        <w:t>MTN has consistently argued that there is no evidence to support</w:t>
      </w:r>
      <w:r w:rsidR="00592C10" w:rsidRPr="00592C10">
        <w:rPr>
          <w:lang w:val="en-US"/>
        </w:rPr>
        <w:t xml:space="preserve"> the existence of </w:t>
      </w:r>
      <w:r w:rsidRPr="00592C10">
        <w:rPr>
          <w:lang w:val="en-US"/>
        </w:rPr>
        <w:t>narrow geographic markets</w:t>
      </w:r>
      <w:r w:rsidR="00592C10" w:rsidRPr="00592C10">
        <w:rPr>
          <w:lang w:val="en-US"/>
        </w:rPr>
        <w:t xml:space="preserve"> based on municipalities, whether at the </w:t>
      </w:r>
      <w:r w:rsidRPr="00592C10">
        <w:rPr>
          <w:lang w:val="en-US"/>
        </w:rPr>
        <w:t xml:space="preserve">retail or wholesale level.  </w:t>
      </w:r>
      <w:r w:rsidR="00C47D24" w:rsidRPr="00592C10">
        <w:rPr>
          <w:lang w:val="en-US"/>
        </w:rPr>
        <w:t xml:space="preserve">It has set out its reasons for this in paragraph 3.1 of its submissions to ICASA </w:t>
      </w:r>
      <w:r w:rsidR="00592C10">
        <w:rPr>
          <w:lang w:val="en-US"/>
        </w:rPr>
        <w:t>in</w:t>
      </w:r>
      <w:r w:rsidR="00592C10" w:rsidRPr="00592C10">
        <w:rPr>
          <w:lang w:val="en-US"/>
        </w:rPr>
        <w:t xml:space="preserve"> </w:t>
      </w:r>
      <w:r w:rsidR="00C47D24" w:rsidRPr="00592C10">
        <w:rPr>
          <w:lang w:val="en-US"/>
        </w:rPr>
        <w:t xml:space="preserve">the Market Inquiry.  I do not repeat </w:t>
      </w:r>
      <w:r w:rsidR="00592C10">
        <w:rPr>
          <w:lang w:val="en-US"/>
        </w:rPr>
        <w:t>those submissions</w:t>
      </w:r>
      <w:r w:rsidR="00592C10" w:rsidRPr="00592C10">
        <w:rPr>
          <w:lang w:val="en-US"/>
        </w:rPr>
        <w:t xml:space="preserve"> </w:t>
      </w:r>
      <w:proofErr w:type="gramStart"/>
      <w:r w:rsidR="00C47D24" w:rsidRPr="00592C10">
        <w:rPr>
          <w:lang w:val="en-US"/>
        </w:rPr>
        <w:t>here</w:t>
      </w:r>
      <w:r w:rsidR="00F6330C" w:rsidRPr="00592C10">
        <w:rPr>
          <w:lang w:val="en-US"/>
        </w:rPr>
        <w:t>, but</w:t>
      </w:r>
      <w:proofErr w:type="gramEnd"/>
      <w:r w:rsidR="00F6330C" w:rsidRPr="00592C10">
        <w:rPr>
          <w:lang w:val="en-US"/>
        </w:rPr>
        <w:t xml:space="preserve"> </w:t>
      </w:r>
      <w:r w:rsidR="003C268C">
        <w:rPr>
          <w:lang w:val="en-US"/>
        </w:rPr>
        <w:t xml:space="preserve">ask that they be read as if incorporated herein.  </w:t>
      </w:r>
      <w:r w:rsidR="00BD538A">
        <w:rPr>
          <w:lang w:val="en-US"/>
        </w:rPr>
        <w:t xml:space="preserve">For present purposes, </w:t>
      </w:r>
      <w:r w:rsidR="003C268C">
        <w:rPr>
          <w:lang w:val="en-US"/>
        </w:rPr>
        <w:t xml:space="preserve">I </w:t>
      </w:r>
      <w:r w:rsidR="00592C10">
        <w:rPr>
          <w:lang w:val="en-US"/>
        </w:rPr>
        <w:t xml:space="preserve">merely </w:t>
      </w:r>
      <w:r w:rsidR="00F6330C" w:rsidRPr="00592C10">
        <w:rPr>
          <w:lang w:val="en-US"/>
        </w:rPr>
        <w:t xml:space="preserve">highlight the following: </w:t>
      </w:r>
    </w:p>
    <w:p w14:paraId="6AE1FBBF" w14:textId="0AAD7F30" w:rsidR="00F6330C" w:rsidRPr="00F6330C" w:rsidRDefault="00592C10" w:rsidP="00140C60">
      <w:pPr>
        <w:pStyle w:val="2"/>
      </w:pPr>
      <w:r>
        <w:lastRenderedPageBreak/>
        <w:t>M</w:t>
      </w:r>
      <w:r w:rsidR="00F6330C" w:rsidRPr="00F6330C">
        <w:t>obile services</w:t>
      </w:r>
      <w:r>
        <w:t xml:space="preserve"> are, by definition, </w:t>
      </w:r>
      <w:r w:rsidR="00F6330C" w:rsidRPr="00F6330C">
        <w:t>provided to a single consumer as he or she moves across different regions, and connect that consumer to consumers in other regions</w:t>
      </w:r>
      <w:r>
        <w:t xml:space="preserve"> or allow the consumer </w:t>
      </w:r>
      <w:r w:rsidR="00F6330C" w:rsidRPr="00F6330C">
        <w:t>to access information located in other regions</w:t>
      </w:r>
      <w:r>
        <w:t xml:space="preserve">.  This </w:t>
      </w:r>
      <w:r w:rsidR="007054F9">
        <w:t xml:space="preserve">is incompatible with </w:t>
      </w:r>
      <w:r w:rsidR="00F6330C" w:rsidRPr="00F6330C">
        <w:t>a geographic market definition</w:t>
      </w:r>
      <w:r>
        <w:t xml:space="preserve"> based on municipalit</w:t>
      </w:r>
      <w:r w:rsidR="007054F9">
        <w:t>i</w:t>
      </w:r>
      <w:r>
        <w:t>es.</w:t>
      </w:r>
    </w:p>
    <w:p w14:paraId="65F53263" w14:textId="3CF51D58" w:rsidR="00F6330C" w:rsidRPr="00F6330C" w:rsidRDefault="00F6330C" w:rsidP="00140C60">
      <w:pPr>
        <w:pStyle w:val="2"/>
      </w:pPr>
      <w:r w:rsidRPr="00F6330C">
        <w:t xml:space="preserve">It is incorrect, as a matter of economics, to conclude that different usage patterns and effective prices are indicative of narrow geographic markets, given that the same inputs are used to provide data services across the whole country, as well as the fact that </w:t>
      </w:r>
      <w:r w:rsidR="00592C10">
        <w:t xml:space="preserve">the </w:t>
      </w:r>
      <w:r w:rsidRPr="00F6330C">
        <w:t>networks of Vodacom and MTN provide national data coverage.</w:t>
      </w:r>
    </w:p>
    <w:p w14:paraId="7593781D" w14:textId="051AD5B3" w:rsidR="00F6330C" w:rsidRPr="00F6330C" w:rsidRDefault="007054F9" w:rsidP="00140C60">
      <w:pPr>
        <w:pStyle w:val="2"/>
        <w:rPr>
          <w:lang w:val="en-US"/>
        </w:rPr>
      </w:pPr>
      <w:r>
        <w:t>S</w:t>
      </w:r>
      <w:r w:rsidR="00F6330C" w:rsidRPr="00F6330C">
        <w:t xml:space="preserve">uch narrow geographic markets are fundamentally inconsistent with the way in which competition takes place between mobile service providers. </w:t>
      </w:r>
      <w:r w:rsidR="00E56CA7">
        <w:t xml:space="preserve"> </w:t>
      </w:r>
      <w:r w:rsidR="00F6330C" w:rsidRPr="00F6330C">
        <w:t>Infrastructure competition is a critical component of network coverage and quality, and MTN and Vodacom have continuously made massive investments in their infrastructure over time, across the country, to improve their coverage and introduce better, more efficient, and faster technologies each year</w:t>
      </w:r>
      <w:r w:rsidR="00F6330C">
        <w:rPr>
          <w:sz w:val="22"/>
        </w:rPr>
        <w:t>.</w:t>
      </w:r>
    </w:p>
    <w:p w14:paraId="04C11BC0" w14:textId="3B648B11" w:rsidR="00782611" w:rsidRDefault="00C47D24" w:rsidP="001951A1">
      <w:pPr>
        <w:pStyle w:val="1"/>
        <w:rPr>
          <w:lang w:val="en-US"/>
        </w:rPr>
      </w:pPr>
      <w:r>
        <w:rPr>
          <w:lang w:val="en-US"/>
        </w:rPr>
        <w:t xml:space="preserve">I attach </w:t>
      </w:r>
      <w:r w:rsidR="007054F9">
        <w:rPr>
          <w:lang w:val="en-US"/>
        </w:rPr>
        <w:t xml:space="preserve">a copy of the </w:t>
      </w:r>
      <w:r>
        <w:rPr>
          <w:lang w:val="en-US"/>
        </w:rPr>
        <w:t xml:space="preserve">submissions as Annexure </w:t>
      </w:r>
      <w:r w:rsidR="002405E1">
        <w:rPr>
          <w:b/>
          <w:bCs/>
        </w:rPr>
        <w:t>MMM</w:t>
      </w:r>
      <w:r w:rsidR="00FA5456">
        <w:rPr>
          <w:b/>
          <w:bCs/>
        </w:rPr>
        <w:t>1</w:t>
      </w:r>
      <w:r w:rsidR="00140C60">
        <w:rPr>
          <w:b/>
          <w:bCs/>
        </w:rPr>
        <w:t>7</w:t>
      </w:r>
      <w:r>
        <w:rPr>
          <w:lang w:val="en-US"/>
        </w:rPr>
        <w:t xml:space="preserve">.  </w:t>
      </w:r>
    </w:p>
    <w:p w14:paraId="51B59C78" w14:textId="50F7C8A3" w:rsidR="00592C10" w:rsidRDefault="00592C10" w:rsidP="001951A1">
      <w:pPr>
        <w:pStyle w:val="1"/>
        <w:rPr>
          <w:lang w:val="en-US"/>
        </w:rPr>
      </w:pPr>
      <w:r>
        <w:rPr>
          <w:lang w:val="en-US"/>
        </w:rPr>
        <w:t xml:space="preserve">I accordingly submit that ICASA’s decision to </w:t>
      </w:r>
      <w:proofErr w:type="spellStart"/>
      <w:r>
        <w:rPr>
          <w:lang w:val="en-US"/>
        </w:rPr>
        <w:t>categorise</w:t>
      </w:r>
      <w:proofErr w:type="spellEnd"/>
      <w:r>
        <w:rPr>
          <w:lang w:val="en-US"/>
        </w:rPr>
        <w:t xml:space="preserve"> operators </w:t>
      </w:r>
      <w:proofErr w:type="gramStart"/>
      <w:r>
        <w:rPr>
          <w:lang w:val="en-US"/>
        </w:rPr>
        <w:t>on the basis of</w:t>
      </w:r>
      <w:proofErr w:type="gramEnd"/>
      <w:r>
        <w:rPr>
          <w:lang w:val="en-US"/>
        </w:rPr>
        <w:t xml:space="preserve"> their retail market shares in municipalities is irrational and unreasonable.</w:t>
      </w:r>
    </w:p>
    <w:p w14:paraId="19B134E0" w14:textId="47BE65BB" w:rsidR="004B0ACA" w:rsidRPr="002D77B3" w:rsidRDefault="004B0ACA">
      <w:pPr>
        <w:pStyle w:val="Heading2"/>
      </w:pPr>
      <w:bookmarkStart w:id="15" w:name="_Toc62222150"/>
      <w:r w:rsidRPr="002D77B3">
        <w:lastRenderedPageBreak/>
        <w:t xml:space="preserve">The categorisation pre-empts the on-going </w:t>
      </w:r>
      <w:r w:rsidR="0099106C">
        <w:t>M</w:t>
      </w:r>
      <w:r w:rsidRPr="002D77B3">
        <w:t xml:space="preserve">arket </w:t>
      </w:r>
      <w:r w:rsidR="0099106C">
        <w:t>I</w:t>
      </w:r>
      <w:r w:rsidRPr="002D77B3">
        <w:t>nquiry</w:t>
      </w:r>
      <w:bookmarkEnd w:id="15"/>
    </w:p>
    <w:p w14:paraId="19D75BB7" w14:textId="09E37EF3" w:rsidR="00310100" w:rsidRDefault="00592C10" w:rsidP="001951A1">
      <w:pPr>
        <w:pStyle w:val="1"/>
        <w:rPr>
          <w:lang w:val="en-US"/>
        </w:rPr>
      </w:pPr>
      <w:r>
        <w:rPr>
          <w:lang w:val="en-US"/>
        </w:rPr>
        <w:t xml:space="preserve">I have explained above that </w:t>
      </w:r>
      <w:r w:rsidR="004B0ACA" w:rsidRPr="004C7398">
        <w:rPr>
          <w:lang w:val="en-US"/>
        </w:rPr>
        <w:t>ICASA has imported into the ITA process the definitions of Tier</w:t>
      </w:r>
      <w:r>
        <w:rPr>
          <w:lang w:val="en-US"/>
        </w:rPr>
        <w:t>-</w:t>
      </w:r>
      <w:r w:rsidR="004B0ACA" w:rsidRPr="004C7398">
        <w:rPr>
          <w:lang w:val="en-US"/>
        </w:rPr>
        <w:t>1 and Ti</w:t>
      </w:r>
      <w:r>
        <w:rPr>
          <w:lang w:val="en-US"/>
        </w:rPr>
        <w:t>er-2</w:t>
      </w:r>
      <w:r w:rsidR="004B0ACA" w:rsidRPr="004C7398">
        <w:rPr>
          <w:lang w:val="en-US"/>
        </w:rPr>
        <w:t xml:space="preserve"> operators </w:t>
      </w:r>
      <w:r w:rsidR="003C268C">
        <w:rPr>
          <w:lang w:val="en-US"/>
        </w:rPr>
        <w:t xml:space="preserve">that were </w:t>
      </w:r>
      <w:r w:rsidR="004B0ACA" w:rsidRPr="004C7398">
        <w:rPr>
          <w:lang w:val="en-US"/>
        </w:rPr>
        <w:t xml:space="preserve">developed during the </w:t>
      </w:r>
      <w:r>
        <w:rPr>
          <w:lang w:val="en-US"/>
        </w:rPr>
        <w:t xml:space="preserve">separate Market Inquiry.  </w:t>
      </w:r>
      <w:r w:rsidR="003760BD">
        <w:rPr>
          <w:lang w:val="en-US"/>
        </w:rPr>
        <w:t>That</w:t>
      </w:r>
      <w:r>
        <w:rPr>
          <w:lang w:val="en-US"/>
        </w:rPr>
        <w:t xml:space="preserve"> is irregular because the </w:t>
      </w:r>
      <w:r w:rsidR="004B0ACA" w:rsidRPr="004C7398">
        <w:rPr>
          <w:lang w:val="en-US"/>
        </w:rPr>
        <w:t xml:space="preserve">Market Inquiry process </w:t>
      </w:r>
      <w:r w:rsidR="00CC0184">
        <w:rPr>
          <w:lang w:val="en-US"/>
        </w:rPr>
        <w:t xml:space="preserve">has not yet been </w:t>
      </w:r>
      <w:r w:rsidR="003760BD">
        <w:rPr>
          <w:lang w:val="en-US"/>
        </w:rPr>
        <w:t>finalized and is ongoing.</w:t>
      </w:r>
    </w:p>
    <w:p w14:paraId="6FF7EEAE" w14:textId="2F240ECB" w:rsidR="004B0ACA" w:rsidRPr="00E344B9" w:rsidRDefault="004B0ACA" w:rsidP="001951A1">
      <w:pPr>
        <w:pStyle w:val="1"/>
      </w:pPr>
      <w:r w:rsidRPr="00A920FA">
        <w:rPr>
          <w:lang w:val="en-US"/>
        </w:rPr>
        <w:t xml:space="preserve">The last consultative engagements with ICASA on the </w:t>
      </w:r>
      <w:r w:rsidR="00592C10" w:rsidRPr="00A920FA">
        <w:rPr>
          <w:lang w:val="en-US"/>
        </w:rPr>
        <w:t xml:space="preserve">Market Inquiry </w:t>
      </w:r>
      <w:r w:rsidRPr="00A920FA">
        <w:rPr>
          <w:lang w:val="en-US"/>
        </w:rPr>
        <w:t xml:space="preserve">were held at the end of </w:t>
      </w:r>
      <w:r w:rsidR="000D0CB5" w:rsidRPr="00A920FA">
        <w:rPr>
          <w:lang w:val="en-US"/>
        </w:rPr>
        <w:t>October</w:t>
      </w:r>
      <w:r w:rsidR="00592C10" w:rsidRPr="00A920FA">
        <w:rPr>
          <w:lang w:val="en-US"/>
        </w:rPr>
        <w:t xml:space="preserve"> 2020</w:t>
      </w:r>
      <w:r w:rsidR="007054F9">
        <w:rPr>
          <w:lang w:val="en-US"/>
        </w:rPr>
        <w:t xml:space="preserve">.  This was a </w:t>
      </w:r>
      <w:r w:rsidRPr="00A920FA">
        <w:rPr>
          <w:lang w:val="en-US"/>
        </w:rPr>
        <w:t xml:space="preserve">few weeks </w:t>
      </w:r>
      <w:r w:rsidRPr="00E344B9">
        <w:rPr>
          <w:u w:val="single"/>
          <w:lang w:val="en-US"/>
        </w:rPr>
        <w:t>after</w:t>
      </w:r>
      <w:r w:rsidRPr="00A920FA">
        <w:rPr>
          <w:lang w:val="en-US"/>
        </w:rPr>
        <w:t xml:space="preserve"> ICASA </w:t>
      </w:r>
      <w:r w:rsidR="003C268C">
        <w:rPr>
          <w:lang w:val="en-US"/>
        </w:rPr>
        <w:t xml:space="preserve">had </w:t>
      </w:r>
      <w:r w:rsidRPr="00A920FA">
        <w:rPr>
          <w:lang w:val="en-US"/>
        </w:rPr>
        <w:t xml:space="preserve">published the ITA. </w:t>
      </w:r>
      <w:r w:rsidR="00E82603">
        <w:rPr>
          <w:lang w:val="en-US"/>
        </w:rPr>
        <w:t xml:space="preserve"> </w:t>
      </w:r>
      <w:r w:rsidRPr="00A920FA">
        <w:rPr>
          <w:lang w:val="en-US"/>
        </w:rPr>
        <w:t xml:space="preserve">This means ICASA either pre-empted the decision in the </w:t>
      </w:r>
      <w:r w:rsidR="00592C10" w:rsidRPr="00A920FA">
        <w:rPr>
          <w:lang w:val="en-US"/>
        </w:rPr>
        <w:t xml:space="preserve">Market Inquiry </w:t>
      </w:r>
      <w:r w:rsidRPr="00A920FA">
        <w:rPr>
          <w:lang w:val="en-US"/>
        </w:rPr>
        <w:t xml:space="preserve">or decided to impose </w:t>
      </w:r>
      <w:r w:rsidR="007054F9">
        <w:rPr>
          <w:lang w:val="en-US"/>
        </w:rPr>
        <w:t>this</w:t>
      </w:r>
      <w:r w:rsidR="007054F9" w:rsidRPr="00A920FA">
        <w:rPr>
          <w:lang w:val="en-US"/>
        </w:rPr>
        <w:t xml:space="preserve"> </w:t>
      </w:r>
      <w:r w:rsidR="000E3ECF" w:rsidRPr="00A920FA">
        <w:rPr>
          <w:lang w:val="en-US"/>
        </w:rPr>
        <w:t>categorisation</w:t>
      </w:r>
      <w:r w:rsidRPr="00A920FA">
        <w:rPr>
          <w:lang w:val="en-US"/>
        </w:rPr>
        <w:t xml:space="preserve"> regardless of what </w:t>
      </w:r>
      <w:r w:rsidR="00BD538A">
        <w:rPr>
          <w:lang w:val="en-US"/>
        </w:rPr>
        <w:t>might</w:t>
      </w:r>
      <w:r w:rsidR="00BD538A" w:rsidRPr="00A920FA">
        <w:rPr>
          <w:lang w:val="en-US"/>
        </w:rPr>
        <w:t xml:space="preserve"> </w:t>
      </w:r>
      <w:r w:rsidRPr="00A920FA">
        <w:rPr>
          <w:lang w:val="en-US"/>
        </w:rPr>
        <w:t>be</w:t>
      </w:r>
      <w:r w:rsidR="00592C10" w:rsidRPr="00A920FA">
        <w:rPr>
          <w:lang w:val="en-US"/>
        </w:rPr>
        <w:t xml:space="preserve"> the outcome in the Market Inquiry.  On either basis, ICASA’s decision is irregular</w:t>
      </w:r>
      <w:r w:rsidR="00A920FA" w:rsidRPr="00A920FA">
        <w:rPr>
          <w:lang w:val="en-US"/>
        </w:rPr>
        <w:t xml:space="preserve"> because </w:t>
      </w:r>
      <w:r w:rsidR="007054F9">
        <w:rPr>
          <w:lang w:val="en-US"/>
        </w:rPr>
        <w:t>ICASA</w:t>
      </w:r>
      <w:r w:rsidR="00A920FA" w:rsidRPr="00A920FA">
        <w:rPr>
          <w:lang w:val="en-US"/>
        </w:rPr>
        <w:t xml:space="preserve"> failed to have regard to the </w:t>
      </w:r>
      <w:r w:rsidR="000E3ECF" w:rsidRPr="00A920FA">
        <w:rPr>
          <w:lang w:val="en-US"/>
        </w:rPr>
        <w:t xml:space="preserve">final outcomes of the assessment of competition undertaken in the Market </w:t>
      </w:r>
      <w:proofErr w:type="gramStart"/>
      <w:r w:rsidR="000E3ECF" w:rsidRPr="00A920FA">
        <w:rPr>
          <w:lang w:val="en-US"/>
        </w:rPr>
        <w:t>Inquiry, and</w:t>
      </w:r>
      <w:proofErr w:type="gramEnd"/>
      <w:r w:rsidR="000E3ECF" w:rsidRPr="00A920FA">
        <w:rPr>
          <w:lang w:val="en-US"/>
        </w:rPr>
        <w:t xml:space="preserve"> </w:t>
      </w:r>
      <w:r w:rsidR="00A920FA">
        <w:rPr>
          <w:lang w:val="en-US"/>
        </w:rPr>
        <w:t xml:space="preserve">failed to have proper regard to the </w:t>
      </w:r>
      <w:r w:rsidR="000E3ECF" w:rsidRPr="00A920FA">
        <w:rPr>
          <w:lang w:val="en-US"/>
        </w:rPr>
        <w:t xml:space="preserve">representations of interested parties at the consultative engagements. </w:t>
      </w:r>
      <w:r w:rsidR="001B5F9C">
        <w:rPr>
          <w:lang w:val="en-US"/>
        </w:rPr>
        <w:t xml:space="preserve"> </w:t>
      </w:r>
      <w:r w:rsidR="007054F9">
        <w:rPr>
          <w:lang w:val="en-US"/>
        </w:rPr>
        <w:t xml:space="preserve">ICASA therefore </w:t>
      </w:r>
      <w:r w:rsidR="002E45E0">
        <w:rPr>
          <w:lang w:val="en-US"/>
        </w:rPr>
        <w:t xml:space="preserve">misdirected itself by not having </w:t>
      </w:r>
      <w:r w:rsidR="003760BD">
        <w:rPr>
          <w:lang w:val="en-US"/>
        </w:rPr>
        <w:t xml:space="preserve">regard to </w:t>
      </w:r>
      <w:r w:rsidR="007054F9">
        <w:rPr>
          <w:lang w:val="en-US"/>
        </w:rPr>
        <w:t>relevant considerations.</w:t>
      </w:r>
    </w:p>
    <w:p w14:paraId="39E02905" w14:textId="34B65FC0" w:rsidR="00307499" w:rsidRPr="000E3ECF" w:rsidRDefault="00307499" w:rsidP="00DD38E2">
      <w:pPr>
        <w:pStyle w:val="1"/>
      </w:pPr>
      <w:r>
        <w:rPr>
          <w:lang w:val="en-US"/>
        </w:rPr>
        <w:t xml:space="preserve">Further and in any event, it was irrational for ICASA to include the Operator Categorisation in the ITA before </w:t>
      </w:r>
      <w:r w:rsidR="003C268C">
        <w:rPr>
          <w:lang w:val="en-US"/>
        </w:rPr>
        <w:t xml:space="preserve">the </w:t>
      </w:r>
      <w:r>
        <w:rPr>
          <w:lang w:val="en-US"/>
        </w:rPr>
        <w:t>Market Inquiry</w:t>
      </w:r>
      <w:r w:rsidR="003C268C">
        <w:rPr>
          <w:lang w:val="en-US"/>
        </w:rPr>
        <w:t xml:space="preserve"> </w:t>
      </w:r>
      <w:r w:rsidR="007D43E1">
        <w:rPr>
          <w:lang w:val="en-US"/>
        </w:rPr>
        <w:t xml:space="preserve">had been </w:t>
      </w:r>
      <w:r w:rsidR="003C268C">
        <w:rPr>
          <w:lang w:val="en-US"/>
        </w:rPr>
        <w:t>completed</w:t>
      </w:r>
      <w:r>
        <w:rPr>
          <w:lang w:val="en-US"/>
        </w:rPr>
        <w:t>, because it means that ICASA did not have regard to the submissions made by interested parties in the Market Inquiry.</w:t>
      </w:r>
    </w:p>
    <w:p w14:paraId="561D3064" w14:textId="74AE22EF" w:rsidR="0099106C" w:rsidRPr="002D77B3" w:rsidRDefault="0099106C">
      <w:pPr>
        <w:pStyle w:val="Heading2"/>
      </w:pPr>
      <w:bookmarkStart w:id="16" w:name="_Toc62222151"/>
      <w:r>
        <w:t>Summation</w:t>
      </w:r>
      <w:bookmarkEnd w:id="16"/>
    </w:p>
    <w:p w14:paraId="78DFA31A" w14:textId="46692595" w:rsidR="00A920FA" w:rsidRPr="00E344B9" w:rsidRDefault="00A920FA" w:rsidP="001951A1">
      <w:pPr>
        <w:pStyle w:val="1"/>
        <w:rPr>
          <w:lang w:val="en-US"/>
        </w:rPr>
      </w:pPr>
      <w:r>
        <w:rPr>
          <w:lang w:val="en-US"/>
        </w:rPr>
        <w:t xml:space="preserve">For all the reasons set out above, I submit that the ICASA’s decision to </w:t>
      </w:r>
      <w:r>
        <w:t>categorise operators into “Tier-1 operators” and “Tier-2 operators” should be reviewed and set aside on the basis that:</w:t>
      </w:r>
    </w:p>
    <w:p w14:paraId="7069A00B" w14:textId="2E35B44F" w:rsidR="00A920FA" w:rsidRDefault="00A920FA" w:rsidP="00140C60">
      <w:pPr>
        <w:pStyle w:val="2"/>
        <w:rPr>
          <w:lang w:val="en-US"/>
        </w:rPr>
      </w:pPr>
      <w:r>
        <w:rPr>
          <w:lang w:val="en-US"/>
        </w:rPr>
        <w:lastRenderedPageBreak/>
        <w:t xml:space="preserve">The definition </w:t>
      </w:r>
      <w:r w:rsidRPr="00E344B9">
        <w:t>of</w:t>
      </w:r>
      <w:r>
        <w:rPr>
          <w:lang w:val="en-US"/>
        </w:rPr>
        <w:t xml:space="preserve"> </w:t>
      </w:r>
      <w:r w:rsidR="003C268C">
        <w:rPr>
          <w:lang w:val="en-US"/>
        </w:rPr>
        <w:t>“</w:t>
      </w:r>
      <w:r>
        <w:rPr>
          <w:lang w:val="en-US"/>
        </w:rPr>
        <w:t>Tier-1 operator</w:t>
      </w:r>
      <w:r w:rsidR="003C268C">
        <w:rPr>
          <w:lang w:val="en-US"/>
        </w:rPr>
        <w:t>”</w:t>
      </w:r>
      <w:r>
        <w:rPr>
          <w:lang w:val="en-US"/>
        </w:rPr>
        <w:t xml:space="preserve"> and </w:t>
      </w:r>
      <w:r w:rsidR="002E45E0">
        <w:rPr>
          <w:lang w:val="en-US"/>
        </w:rPr>
        <w:t xml:space="preserve">the definition of </w:t>
      </w:r>
      <w:r w:rsidR="003C268C">
        <w:rPr>
          <w:lang w:val="en-US"/>
        </w:rPr>
        <w:t>“</w:t>
      </w:r>
      <w:r>
        <w:rPr>
          <w:lang w:val="en-US"/>
        </w:rPr>
        <w:t>Tier-2 operator</w:t>
      </w:r>
      <w:r w:rsidR="003C268C">
        <w:rPr>
          <w:lang w:val="en-US"/>
        </w:rPr>
        <w:t>”</w:t>
      </w:r>
      <w:r>
        <w:rPr>
          <w:lang w:val="en-US"/>
        </w:rPr>
        <w:t xml:space="preserve"> are void for vagueness;</w:t>
      </w:r>
    </w:p>
    <w:p w14:paraId="7C1A19C7" w14:textId="177E5F4E" w:rsidR="00A920FA" w:rsidRPr="00E344B9" w:rsidRDefault="00A920FA" w:rsidP="00140C60">
      <w:pPr>
        <w:pStyle w:val="2"/>
      </w:pPr>
      <w:r>
        <w:rPr>
          <w:lang w:val="en-US"/>
        </w:rPr>
        <w:t xml:space="preserve">The Operator Categorisation is arbitrary, within the meaning of section 6(2)(e)(i) of PAJA </w:t>
      </w:r>
      <w:r w:rsidRPr="00E344B9">
        <w:rPr>
          <w:i/>
        </w:rPr>
        <w:t>alternatively</w:t>
      </w:r>
      <w:r w:rsidRPr="00E344B9">
        <w:t xml:space="preserve"> within the meaning of the doctrine of legality;</w:t>
      </w:r>
    </w:p>
    <w:p w14:paraId="13B4890A" w14:textId="6EAE0F14" w:rsidR="00A920FA" w:rsidRPr="00E344B9" w:rsidRDefault="00A920FA" w:rsidP="00140C60">
      <w:pPr>
        <w:pStyle w:val="2"/>
      </w:pPr>
      <w:r w:rsidRPr="00E344B9">
        <w:t xml:space="preserve">The Operator Categorisation is irrational, within the meaning of section 6(2)(f)(ii) of PAJA </w:t>
      </w:r>
      <w:r w:rsidRPr="00E344B9">
        <w:rPr>
          <w:i/>
        </w:rPr>
        <w:t>alternatively</w:t>
      </w:r>
      <w:r w:rsidRPr="00E344B9">
        <w:t xml:space="preserve"> within the meaning of the doctrine of legality;</w:t>
      </w:r>
    </w:p>
    <w:p w14:paraId="2685656F" w14:textId="57BA680E" w:rsidR="00A920FA" w:rsidRPr="00E344B9" w:rsidRDefault="00A920FA" w:rsidP="00140C60">
      <w:pPr>
        <w:pStyle w:val="2"/>
      </w:pPr>
      <w:r w:rsidRPr="00E344B9">
        <w:t xml:space="preserve">The Operator Categorisation fails to have regard to relevant considerations and has regard to irrelevant considerations, within the meaning of section 6(2)(e)(iii) of PAJA </w:t>
      </w:r>
      <w:r w:rsidRPr="00E344B9">
        <w:rPr>
          <w:i/>
        </w:rPr>
        <w:t>alternatively</w:t>
      </w:r>
      <w:r w:rsidRPr="00E344B9">
        <w:t xml:space="preserve"> within the meaning of the doctrine of legality;</w:t>
      </w:r>
    </w:p>
    <w:p w14:paraId="2536B468" w14:textId="67D0C3CF" w:rsidR="00A920FA" w:rsidRPr="00E344B9" w:rsidRDefault="00A920FA" w:rsidP="00140C60">
      <w:pPr>
        <w:pStyle w:val="2"/>
      </w:pPr>
      <w:r w:rsidRPr="00E344B9">
        <w:t xml:space="preserve">The Operator Categorisation is unreasonable, within the meaning of section 6(2)(h) of PAJA </w:t>
      </w:r>
      <w:r w:rsidRPr="00E344B9">
        <w:rPr>
          <w:i/>
        </w:rPr>
        <w:t>alternatively</w:t>
      </w:r>
      <w:r w:rsidRPr="00E344B9">
        <w:t xml:space="preserve"> within the meaning of the doctrine of legality;</w:t>
      </w:r>
    </w:p>
    <w:p w14:paraId="4EF4BCB5" w14:textId="692DEAE0" w:rsidR="00A920FA" w:rsidRDefault="00A920FA" w:rsidP="00140C60">
      <w:pPr>
        <w:pStyle w:val="2"/>
        <w:rPr>
          <w:lang w:val="en-US"/>
        </w:rPr>
      </w:pPr>
      <w:r w:rsidRPr="00E344B9">
        <w:t>The Operator Categorisation</w:t>
      </w:r>
      <w:r>
        <w:rPr>
          <w:lang w:val="en-US"/>
        </w:rPr>
        <w:t xml:space="preserve"> is otherwise unconstitutional or unlawfu</w:t>
      </w:r>
      <w:r w:rsidR="002E45E0">
        <w:rPr>
          <w:lang w:val="en-US"/>
        </w:rPr>
        <w:t>l</w:t>
      </w:r>
      <w:r>
        <w:rPr>
          <w:lang w:val="en-US"/>
        </w:rPr>
        <w:t>, within the meaning of section 6(2)(i) of PAJA.</w:t>
      </w:r>
    </w:p>
    <w:p w14:paraId="624ABA13" w14:textId="36C5300B" w:rsidR="0054215C" w:rsidRPr="004B378D" w:rsidRDefault="0054215C">
      <w:pPr>
        <w:pStyle w:val="Heading1"/>
      </w:pPr>
      <w:bookmarkStart w:id="17" w:name="_Toc62222152"/>
      <w:r>
        <w:t xml:space="preserve">REVIEW GROUNDS: </w:t>
      </w:r>
      <w:r w:rsidRPr="004B378D">
        <w:t xml:space="preserve">THE </w:t>
      </w:r>
      <w:r>
        <w:t>categorisation of mtn as a tier-1 operator</w:t>
      </w:r>
      <w:bookmarkEnd w:id="17"/>
    </w:p>
    <w:p w14:paraId="67D15273" w14:textId="6FAE118F" w:rsidR="0054215C" w:rsidRPr="00CC28A0" w:rsidRDefault="0054215C" w:rsidP="001951A1">
      <w:pPr>
        <w:pStyle w:val="1"/>
      </w:pPr>
      <w:r w:rsidRPr="0054215C">
        <w:rPr>
          <w:lang w:val="en-ZA" w:eastAsia="en-GB"/>
        </w:rPr>
        <w:t>In prayer 2.</w:t>
      </w:r>
      <w:r>
        <w:rPr>
          <w:lang w:val="en-ZA" w:eastAsia="en-GB"/>
        </w:rPr>
        <w:t>2</w:t>
      </w:r>
      <w:r w:rsidRPr="0054215C">
        <w:rPr>
          <w:lang w:val="en-ZA" w:eastAsia="en-GB"/>
        </w:rPr>
        <w:t xml:space="preserve"> of the notice of motion, MTN seeks an order reviewing and setting aside ICASA’s decision to </w:t>
      </w:r>
      <w:r>
        <w:rPr>
          <w:szCs w:val="24"/>
        </w:rPr>
        <w:t>categorise MTN as a Tier-1 Operator.</w:t>
      </w:r>
    </w:p>
    <w:p w14:paraId="03E49875" w14:textId="766A391E" w:rsidR="0054215C" w:rsidRPr="00CC28A0" w:rsidRDefault="0054215C" w:rsidP="001951A1">
      <w:pPr>
        <w:pStyle w:val="1"/>
      </w:pPr>
      <w:r>
        <w:lastRenderedPageBreak/>
        <w:t>I have submitted above that the definition of a Tier-1 Operator is void for vagueness.  For this reason alone, ICASA misdirected itself in categorising MTN as a Tier-1 Operator.</w:t>
      </w:r>
    </w:p>
    <w:p w14:paraId="6E4FE036" w14:textId="1B37E58B" w:rsidR="00C90783" w:rsidRDefault="0054215C" w:rsidP="001A49A2">
      <w:pPr>
        <w:pStyle w:val="1"/>
      </w:pPr>
      <w:r w:rsidRPr="002E45E0">
        <w:t xml:space="preserve">Further and in </w:t>
      </w:r>
      <w:r w:rsidR="00676731">
        <w:t xml:space="preserve">any </w:t>
      </w:r>
      <w:r w:rsidRPr="002E45E0">
        <w:t xml:space="preserve">event, </w:t>
      </w:r>
      <w:r w:rsidR="00F128B5" w:rsidRPr="002E45E0">
        <w:t xml:space="preserve">MTN has never been </w:t>
      </w:r>
      <w:r w:rsidR="001540CC">
        <w:t>informed</w:t>
      </w:r>
      <w:r w:rsidR="001540CC" w:rsidRPr="002E45E0">
        <w:t xml:space="preserve"> </w:t>
      </w:r>
      <w:r w:rsidR="00F128B5" w:rsidRPr="002E45E0">
        <w:t xml:space="preserve">that ICASA intended to </w:t>
      </w:r>
      <w:r w:rsidRPr="002E45E0">
        <w:t>categorise</w:t>
      </w:r>
      <w:r w:rsidR="00F128B5" w:rsidRPr="002E45E0">
        <w:t xml:space="preserve"> </w:t>
      </w:r>
      <w:r w:rsidR="002E45E0" w:rsidRPr="002E45E0">
        <w:t>MTN</w:t>
      </w:r>
      <w:r w:rsidR="00F128B5" w:rsidRPr="002E45E0">
        <w:t xml:space="preserve"> as </w:t>
      </w:r>
      <w:r w:rsidRPr="002E45E0">
        <w:t>a Tier-1 Operator</w:t>
      </w:r>
      <w:r w:rsidR="00F128B5" w:rsidRPr="002E45E0">
        <w:t xml:space="preserve">.  </w:t>
      </w:r>
      <w:r w:rsidR="002E45E0" w:rsidRPr="002E45E0">
        <w:t xml:space="preserve">The first MTN learned of </w:t>
      </w:r>
      <w:r w:rsidR="00B959BA">
        <w:t xml:space="preserve">the fact that it </w:t>
      </w:r>
      <w:r w:rsidR="003C268C">
        <w:t xml:space="preserve">had been </w:t>
      </w:r>
      <w:r w:rsidR="00B959BA">
        <w:t>characterised as a Tier-1 Operator</w:t>
      </w:r>
      <w:r w:rsidR="002E45E0" w:rsidRPr="002E45E0">
        <w:t xml:space="preserve"> was when it received </w:t>
      </w:r>
      <w:r w:rsidR="00B63BA2">
        <w:t>ICASA’s Response Document</w:t>
      </w:r>
      <w:r w:rsidR="002E45E0" w:rsidRPr="002E45E0">
        <w:t xml:space="preserve">.  </w:t>
      </w:r>
      <w:r w:rsidR="00BD538A">
        <w:t xml:space="preserve"> </w:t>
      </w:r>
      <w:r w:rsidR="00C90783">
        <w:t xml:space="preserve">At that stage, ICASA stated that it had “already decided which operators are categorised as tier-1 operators.” (Response to Query 43, p20, Response Document). </w:t>
      </w:r>
      <w:r w:rsidR="00BD538A">
        <w:t>ICASA</w:t>
      </w:r>
      <w:r w:rsidR="00C90783">
        <w:t xml:space="preserve"> confirmed that “MTN and Vodacom are Tier-1 Wholesale National Operators”.  (Response to Query 31, p14, Response Document).</w:t>
      </w:r>
    </w:p>
    <w:p w14:paraId="641E1DC5" w14:textId="48897256" w:rsidR="0054215C" w:rsidRPr="00C717B5" w:rsidRDefault="0054215C" w:rsidP="00DD38E2">
      <w:pPr>
        <w:pStyle w:val="1"/>
      </w:pPr>
      <w:r w:rsidRPr="002E45E0">
        <w:t xml:space="preserve">MTN was at no stage given notice of the fact that ICASA intended to categorise it as a Tier-1 Operator </w:t>
      </w:r>
      <w:r w:rsidR="002E45E0">
        <w:t xml:space="preserve">and was not </w:t>
      </w:r>
      <w:r w:rsidRPr="002E45E0">
        <w:t>afforded an opportunity to make representations as to why it should not be classified as a Tier-1 Operator.  ICASA’s decision was therefore procedurally unfair and should be reviewed and set aside in terms of section 6(2)(c) read with section 3 of PAJA.</w:t>
      </w:r>
    </w:p>
    <w:p w14:paraId="0D486299" w14:textId="5DF89F37" w:rsidR="00203366" w:rsidRPr="004B378D" w:rsidRDefault="00996610">
      <w:pPr>
        <w:pStyle w:val="Heading1"/>
      </w:pPr>
      <w:bookmarkStart w:id="18" w:name="_Toc62222153"/>
      <w:r>
        <w:t>REVIEW GROUNDS:</w:t>
      </w:r>
      <w:bookmarkEnd w:id="18"/>
      <w:r>
        <w:t xml:space="preserve"> </w:t>
      </w:r>
      <w:bookmarkStart w:id="19" w:name="_Toc62222154"/>
      <w:r w:rsidR="00203366" w:rsidRPr="004B378D">
        <w:t>THE OPT-IN SCHEME</w:t>
      </w:r>
      <w:bookmarkEnd w:id="19"/>
    </w:p>
    <w:p w14:paraId="5EF92CD1" w14:textId="10FF9AAF" w:rsidR="00C717B5" w:rsidRPr="00C717B5" w:rsidRDefault="00C717B5" w:rsidP="001951A1">
      <w:pPr>
        <w:pStyle w:val="1"/>
      </w:pPr>
      <w:r w:rsidRPr="004F18C6">
        <w:rPr>
          <w:lang w:val="en-ZA" w:eastAsia="en-GB"/>
        </w:rPr>
        <w:t xml:space="preserve">In prayer </w:t>
      </w:r>
      <w:r>
        <w:rPr>
          <w:lang w:val="en-ZA" w:eastAsia="en-GB"/>
        </w:rPr>
        <w:t>2.3</w:t>
      </w:r>
      <w:r w:rsidRPr="004F18C6">
        <w:rPr>
          <w:lang w:val="en-ZA" w:eastAsia="en-GB"/>
        </w:rPr>
        <w:t xml:space="preserve"> of the notice of motion, MTN seeks an order reviewing and setting aside ICASA’s decision to </w:t>
      </w:r>
      <w:r w:rsidR="0099106C">
        <w:t>include in the auction structure an Opt-In Scheme comprising of Opt-In lots and spectrum floors, as described in paragraphs 6 and 17.2 of the ITA.</w:t>
      </w:r>
      <w:r w:rsidR="000B49F1">
        <w:t xml:space="preserve">  </w:t>
      </w:r>
    </w:p>
    <w:p w14:paraId="7F77ADAE" w14:textId="4A6DBB38" w:rsidR="000B49F1" w:rsidRPr="004B378D" w:rsidRDefault="004B378D" w:rsidP="001951A1">
      <w:pPr>
        <w:pStyle w:val="1"/>
      </w:pPr>
      <w:r w:rsidRPr="004B378D">
        <w:t xml:space="preserve">ICASA </w:t>
      </w:r>
      <w:r w:rsidR="004B72A6">
        <w:t>acknowledges</w:t>
      </w:r>
      <w:r w:rsidR="004B72A6" w:rsidRPr="004B378D">
        <w:t xml:space="preserve"> </w:t>
      </w:r>
      <w:r w:rsidRPr="004B378D">
        <w:t>that “</w:t>
      </w:r>
      <w:r w:rsidRPr="000B49F1">
        <w:t xml:space="preserve">spectrum is a strategic asset for national wholesalers and access to spectrum is likely to have a major impact on a </w:t>
      </w:r>
      <w:r w:rsidRPr="000B49F1">
        <w:lastRenderedPageBreak/>
        <w:t>national wholesaler’s competitive strength in the market</w:t>
      </w:r>
      <w:r w:rsidRPr="004B378D">
        <w:t>.” (Competition Assessment, Reasons Document, p118, para 93.)</w:t>
      </w:r>
      <w:r w:rsidR="000B49F1">
        <w:t xml:space="preserve">.  ICASA also acknowledges that </w:t>
      </w:r>
      <w:r w:rsidR="00C717B5">
        <w:t>“</w:t>
      </w:r>
      <w:r w:rsidR="00C717B5" w:rsidRPr="000B49F1">
        <w:t>spectrum is a scarce resource and the forthcoming auction of spectrum is the best opportunity to access additional spectrum resources.  This suggests that the outcome of the auction is likely to shape the future competitiveness of the mobile sector for at least the next decade</w:t>
      </w:r>
      <w:r w:rsidR="00C717B5" w:rsidRPr="004B378D">
        <w:t>.”  (Competition Assessment, Reasons Document, p118, para 9</w:t>
      </w:r>
      <w:r w:rsidR="00F11202">
        <w:t>4</w:t>
      </w:r>
      <w:r w:rsidR="00C717B5" w:rsidRPr="004B378D">
        <w:t>.)</w:t>
      </w:r>
      <w:r w:rsidR="000B49F1">
        <w:t xml:space="preserve">  Despite these statements, ICASA has imposed an auction structure that is impermissibly vague; that fails to achieve the objectives of the ITA and the ECA; and that is unreasonable.  I elaborate below on the reasons for this.</w:t>
      </w:r>
    </w:p>
    <w:p w14:paraId="53A0B89E" w14:textId="20A69DFB" w:rsidR="00841174" w:rsidRDefault="0082340D">
      <w:pPr>
        <w:pStyle w:val="Heading2"/>
      </w:pPr>
      <w:bookmarkStart w:id="20" w:name="_Toc62222155"/>
      <w:r>
        <w:t>The Opt-In Scheme is</w:t>
      </w:r>
      <w:r w:rsidR="00513637">
        <w:t xml:space="preserve"> impermissibly</w:t>
      </w:r>
      <w:r>
        <w:t xml:space="preserve"> vague</w:t>
      </w:r>
      <w:bookmarkEnd w:id="20"/>
    </w:p>
    <w:p w14:paraId="56A51422" w14:textId="5D2BF3A9" w:rsidR="00A3152A" w:rsidRPr="00847678" w:rsidRDefault="000B49F1" w:rsidP="001951A1">
      <w:pPr>
        <w:pStyle w:val="1"/>
      </w:pPr>
      <w:r>
        <w:t xml:space="preserve">I have </w:t>
      </w:r>
      <w:r w:rsidR="00F128B5">
        <w:t xml:space="preserve">already </w:t>
      </w:r>
      <w:r>
        <w:t xml:space="preserve">explained the </w:t>
      </w:r>
      <w:r w:rsidR="00A3152A" w:rsidRPr="00847678">
        <w:t xml:space="preserve">lack of clarity </w:t>
      </w:r>
      <w:r>
        <w:t>regarding</w:t>
      </w:r>
      <w:r w:rsidRPr="00847678">
        <w:t xml:space="preserve"> </w:t>
      </w:r>
      <w:r w:rsidR="00AB01FD">
        <w:t xml:space="preserve">how the </w:t>
      </w:r>
      <w:r w:rsidR="00A3152A" w:rsidRPr="00847678">
        <w:t xml:space="preserve">Opt-In Auction Round </w:t>
      </w:r>
      <w:r w:rsidR="00AB01FD">
        <w:t xml:space="preserve">will operate in practice.  This makes it impossible for MTN </w:t>
      </w:r>
      <w:r w:rsidR="00A3152A" w:rsidRPr="00847678">
        <w:t>to predict the likely outcomes of the Opt-In Auction Round</w:t>
      </w:r>
      <w:r w:rsidR="00A3152A">
        <w:t xml:space="preserve"> and </w:t>
      </w:r>
      <w:r w:rsidR="00AB01FD">
        <w:t>to a</w:t>
      </w:r>
      <w:r w:rsidR="00A3152A">
        <w:t>nticipate the spectrum that will be available in the remaining auction rounds</w:t>
      </w:r>
      <w:r w:rsidR="00A3152A" w:rsidRPr="00847678">
        <w:t>.</w:t>
      </w:r>
    </w:p>
    <w:p w14:paraId="180382AA" w14:textId="0DD22233" w:rsidR="00A3152A" w:rsidRPr="00A3152A" w:rsidRDefault="004107C9" w:rsidP="001951A1">
      <w:pPr>
        <w:pStyle w:val="1"/>
      </w:pPr>
      <w:r>
        <w:t xml:space="preserve">The prospective bidders have repeatedly requested further information from ICASA.  No </w:t>
      </w:r>
      <w:r w:rsidR="003C268C">
        <w:t xml:space="preserve">coherent </w:t>
      </w:r>
      <w:r>
        <w:t>answers have been provided</w:t>
      </w:r>
      <w:r w:rsidR="00A3152A">
        <w:t>.</w:t>
      </w:r>
      <w:r w:rsidR="003C268C">
        <w:t xml:space="preserve">  </w:t>
      </w:r>
      <w:r w:rsidR="00AB01FD">
        <w:t xml:space="preserve">On the contrary, </w:t>
      </w:r>
      <w:r w:rsidR="00A3152A">
        <w:t xml:space="preserve">ICASA has suggested that the information regarding the Opt-In Auction Round will only be </w:t>
      </w:r>
      <w:r w:rsidR="00A3152A" w:rsidRPr="00A3152A">
        <w:t xml:space="preserve">disclosed to qualified bidders at the auction stage of the ITA process. </w:t>
      </w:r>
    </w:p>
    <w:p w14:paraId="472E13D7" w14:textId="249471A2" w:rsidR="00D53058" w:rsidRPr="00AC098B" w:rsidRDefault="00D53058" w:rsidP="001951A1">
      <w:pPr>
        <w:pStyle w:val="1"/>
      </w:pPr>
      <w:r w:rsidRPr="00AC098B">
        <w:t xml:space="preserve">The lack of answers to these questions hampers the ability of stakeholders to </w:t>
      </w:r>
      <w:r w:rsidR="000B49F1">
        <w:t xml:space="preserve">take informed decisions on </w:t>
      </w:r>
      <w:r w:rsidRPr="00AC098B">
        <w:t xml:space="preserve">the auction process </w:t>
      </w:r>
      <w:r w:rsidR="000B49F1">
        <w:t xml:space="preserve">and to prepare </w:t>
      </w:r>
      <w:r w:rsidRPr="00AC098B">
        <w:t xml:space="preserve">adequately. </w:t>
      </w:r>
      <w:r w:rsidR="00CA1FB9">
        <w:t xml:space="preserve"> </w:t>
      </w:r>
      <w:r w:rsidRPr="00AC098B">
        <w:t xml:space="preserve">It introduces uncertainty and risk for all </w:t>
      </w:r>
      <w:r w:rsidR="000B49F1">
        <w:t>participants</w:t>
      </w:r>
      <w:r w:rsidR="00AB01FD">
        <w:t xml:space="preserve"> in the ITA process.</w:t>
      </w:r>
    </w:p>
    <w:p w14:paraId="4DBC00F6" w14:textId="6EB4363F" w:rsidR="00D53058" w:rsidRPr="00AC098B" w:rsidRDefault="00D53058" w:rsidP="00DD38E2">
      <w:pPr>
        <w:pStyle w:val="1"/>
      </w:pPr>
      <w:r w:rsidRPr="00AC098B">
        <w:lastRenderedPageBreak/>
        <w:t xml:space="preserve">By </w:t>
      </w:r>
      <w:r w:rsidR="000B49F1">
        <w:t xml:space="preserve">way of </w:t>
      </w:r>
      <w:r w:rsidRPr="00AC098B">
        <w:t xml:space="preserve">contrast, </w:t>
      </w:r>
      <w:r w:rsidR="000B49F1">
        <w:t xml:space="preserve">I record that in </w:t>
      </w:r>
      <w:r w:rsidR="00B63BA2">
        <w:t xml:space="preserve">the 4G </w:t>
      </w:r>
      <w:r w:rsidR="001B1EFC">
        <w:t>A</w:t>
      </w:r>
      <w:r w:rsidR="00B63BA2">
        <w:t>uction, Ofcom</w:t>
      </w:r>
      <w:r w:rsidRPr="00AC098B">
        <w:t xml:space="preserve"> published 70 pages </w:t>
      </w:r>
      <w:r w:rsidR="000B49F1">
        <w:t xml:space="preserve">of </w:t>
      </w:r>
      <w:r w:rsidRPr="00AC098B">
        <w:t xml:space="preserve">detailed rules a full two months prior to the auction specifying the specific rules around opt-in, including </w:t>
      </w:r>
      <w:r w:rsidR="00AB01FD">
        <w:t xml:space="preserve">the </w:t>
      </w:r>
      <w:r w:rsidRPr="00AC098B">
        <w:t>requirements to become an opt-in bidder, how opt-in bids would be selected, how opt-in bids were to be submitted, what constituted a valid opt-in bid, the procedures for the opt-in round, and how winning bids would be selected.</w:t>
      </w:r>
      <w:r w:rsidR="00B540AB">
        <w:t xml:space="preserve">  </w:t>
      </w:r>
      <w:r w:rsidR="000B49F1">
        <w:t>I attach as</w:t>
      </w:r>
      <w:r w:rsidR="001457E9">
        <w:t xml:space="preserve"> annexure </w:t>
      </w:r>
      <w:r w:rsidR="001457E9" w:rsidRPr="00E344B9">
        <w:rPr>
          <w:b/>
          <w:bCs/>
        </w:rPr>
        <w:t>MMM</w:t>
      </w:r>
      <w:r w:rsidR="00FA5456">
        <w:rPr>
          <w:b/>
          <w:bCs/>
        </w:rPr>
        <w:t>1</w:t>
      </w:r>
      <w:r w:rsidR="00140C60">
        <w:rPr>
          <w:b/>
          <w:bCs/>
        </w:rPr>
        <w:t>8</w:t>
      </w:r>
      <w:r w:rsidR="000B49F1">
        <w:t xml:space="preserve"> a copy of T</w:t>
      </w:r>
      <w:r w:rsidR="000B49F1" w:rsidRPr="00E344B9">
        <w:rPr>
          <w:rStyle w:val="FootnoteReference"/>
          <w:vertAlign w:val="baseline"/>
        </w:rPr>
        <w:t>he Wireless Telegraphy (Licence Award) Regulations 2012, Ofcom, 9 November 2012.</w:t>
      </w:r>
      <w:r w:rsidR="00D04AF2">
        <w:t xml:space="preserve">  A reading of the Ofcom documents makes it clear to what extent the ITA </w:t>
      </w:r>
      <w:r w:rsidR="00AB01FD">
        <w:t xml:space="preserve">fails to furnish </w:t>
      </w:r>
      <w:r w:rsidR="00D04AF2">
        <w:t>adequate particularity regarding how the Opt-In Auction Round will be conducted.</w:t>
      </w:r>
    </w:p>
    <w:p w14:paraId="1F8A63AF" w14:textId="56F14E6D" w:rsidR="00B55FC4" w:rsidRDefault="00B55FC4">
      <w:pPr>
        <w:pStyle w:val="Heading2"/>
        <w:rPr>
          <w:lang w:val="en-US"/>
        </w:rPr>
      </w:pPr>
      <w:bookmarkStart w:id="21" w:name="_Toc62222156"/>
      <w:r>
        <w:rPr>
          <w:lang w:val="en-US"/>
        </w:rPr>
        <w:t>The Opt-In Scheme is contrary to the objectives of the ITA</w:t>
      </w:r>
      <w:r w:rsidR="0039184E">
        <w:rPr>
          <w:lang w:val="en-US"/>
        </w:rPr>
        <w:t xml:space="preserve"> and </w:t>
      </w:r>
      <w:r w:rsidR="00B96499">
        <w:rPr>
          <w:lang w:val="en-US"/>
        </w:rPr>
        <w:t xml:space="preserve">is </w:t>
      </w:r>
      <w:r w:rsidR="0039184E">
        <w:rPr>
          <w:lang w:val="en-US"/>
        </w:rPr>
        <w:t>irrational</w:t>
      </w:r>
      <w:bookmarkEnd w:id="21"/>
    </w:p>
    <w:p w14:paraId="03792BF2" w14:textId="28236D7C" w:rsidR="00B55FC4" w:rsidRPr="00A5086B" w:rsidRDefault="00FC677B" w:rsidP="001951A1">
      <w:pPr>
        <w:pStyle w:val="1"/>
      </w:pPr>
      <w:r w:rsidRPr="00C02213">
        <w:t xml:space="preserve">When it regulates </w:t>
      </w:r>
      <w:r w:rsidR="00B55FC4" w:rsidRPr="00C02213">
        <w:t>spectrum, ICASA is required to act in accordance with the primary object</w:t>
      </w:r>
      <w:r w:rsidR="003979D9">
        <w:t>s</w:t>
      </w:r>
      <w:r w:rsidR="00B55FC4" w:rsidRPr="00C02213">
        <w:t xml:space="preserve"> of the ECA</w:t>
      </w:r>
      <w:r w:rsidR="00C02213" w:rsidRPr="00C02213">
        <w:t>, which is t</w:t>
      </w:r>
      <w:r w:rsidR="00B55FC4" w:rsidRPr="00C02213">
        <w:t>o “</w:t>
      </w:r>
      <w:r w:rsidR="00B55FC4" w:rsidRPr="00E344B9">
        <w:t>provide for the regulation of electronic communications in the Republic in the public interest</w:t>
      </w:r>
      <w:r w:rsidR="00B55FC4" w:rsidRPr="00C02213">
        <w:t xml:space="preserve">”. </w:t>
      </w:r>
      <w:r w:rsidR="00C02213">
        <w:t xml:space="preserve"> </w:t>
      </w:r>
      <w:r w:rsidR="00B55FC4" w:rsidRPr="00A5086B">
        <w:t xml:space="preserve">In order to achieve this purpose, the </w:t>
      </w:r>
      <w:r w:rsidR="00B55FC4">
        <w:t>ECA</w:t>
      </w:r>
      <w:r w:rsidR="00B55FC4" w:rsidRPr="00A5086B">
        <w:t xml:space="preserve"> </w:t>
      </w:r>
      <w:r w:rsidR="00C02213">
        <w:t>requires ICASA to have regard to its ob</w:t>
      </w:r>
      <w:r w:rsidR="00B55FC4" w:rsidRPr="00A5086B">
        <w:t>ligations to:</w:t>
      </w:r>
    </w:p>
    <w:p w14:paraId="5A978468" w14:textId="77777777" w:rsidR="00B55FC4" w:rsidRPr="00A5086B" w:rsidRDefault="00B55FC4" w:rsidP="001951A1">
      <w:pPr>
        <w:pStyle w:val="2"/>
      </w:pPr>
      <w:r>
        <w:t>ensure efficient use of the radio frequency spectrum;</w:t>
      </w:r>
    </w:p>
    <w:p w14:paraId="01BF6B0B" w14:textId="77777777" w:rsidR="00B55FC4" w:rsidRDefault="00B55FC4" w:rsidP="00140C60">
      <w:pPr>
        <w:pStyle w:val="2"/>
      </w:pPr>
      <w:r>
        <w:t>promote the universal provision of electronic communications networks and electronic communications services and connectivity for all;</w:t>
      </w:r>
    </w:p>
    <w:p w14:paraId="277A2FA2" w14:textId="77777777" w:rsidR="00B55FC4" w:rsidRDefault="00B55FC4" w:rsidP="00140C60">
      <w:pPr>
        <w:pStyle w:val="2"/>
      </w:pPr>
      <w:r>
        <w:t>encourage investment, including strategic infrastructure investment, and innovation in the communications sector.</w:t>
      </w:r>
    </w:p>
    <w:p w14:paraId="15821AE5" w14:textId="0564149A" w:rsidR="00B55FC4" w:rsidRPr="00E36790" w:rsidRDefault="00C02213" w:rsidP="00140C60">
      <w:pPr>
        <w:pStyle w:val="2"/>
      </w:pPr>
      <w:r>
        <w:t xml:space="preserve">promote and facilitate </w:t>
      </w:r>
      <w:r w:rsidR="00B55FC4" w:rsidRPr="00E36790">
        <w:t>the convergence of telecommunications, broadcasting, information technologies and other services;</w:t>
      </w:r>
    </w:p>
    <w:p w14:paraId="3B4E80C8" w14:textId="6B77014E" w:rsidR="00B55FC4" w:rsidRPr="00E36790" w:rsidRDefault="00B55FC4" w:rsidP="001951A1">
      <w:pPr>
        <w:pStyle w:val="2"/>
      </w:pPr>
      <w:r w:rsidRPr="00E36790">
        <w:lastRenderedPageBreak/>
        <w:t>promote competition within the ICT sector;</w:t>
      </w:r>
    </w:p>
    <w:p w14:paraId="4DAF5E55" w14:textId="4F79F15D" w:rsidR="00B55FC4" w:rsidRPr="00E36790" w:rsidRDefault="00B55FC4" w:rsidP="00140C60">
      <w:pPr>
        <w:pStyle w:val="2"/>
      </w:pPr>
      <w:r w:rsidRPr="00E36790">
        <w:t>ensure the provision of a variety of quality electronic communications services at reasonable prices; and</w:t>
      </w:r>
    </w:p>
    <w:p w14:paraId="5B9A7050" w14:textId="142D6982" w:rsidR="00B55FC4" w:rsidRDefault="00B55FC4" w:rsidP="00140C60">
      <w:pPr>
        <w:pStyle w:val="2"/>
      </w:pPr>
      <w:r w:rsidRPr="00E36790">
        <w:t xml:space="preserve">promote the interests of consumers </w:t>
      </w:r>
      <w:proofErr w:type="gramStart"/>
      <w:r w:rsidRPr="00E36790">
        <w:t>with regard to</w:t>
      </w:r>
      <w:proofErr w:type="gramEnd"/>
      <w:r w:rsidRPr="00E36790">
        <w:t xml:space="preserve"> the price, quality and variety of electronic communications services.</w:t>
      </w:r>
    </w:p>
    <w:p w14:paraId="4ED3901E" w14:textId="7511ECF1" w:rsidR="00B55FC4" w:rsidRDefault="00B55FC4" w:rsidP="001951A1">
      <w:pPr>
        <w:pStyle w:val="1"/>
      </w:pPr>
      <w:r>
        <w:t>The</w:t>
      </w:r>
      <w:r w:rsidR="00F128B5">
        <w:t>se</w:t>
      </w:r>
      <w:r>
        <w:t xml:space="preserve"> objectives are largely mirrored in the ITA.  The objectives of the ITA are set out at paragraph 3 and include:</w:t>
      </w:r>
    </w:p>
    <w:p w14:paraId="254CADAF" w14:textId="16B2D8F7" w:rsidR="00B55FC4" w:rsidRDefault="00B55FC4" w:rsidP="00140C60">
      <w:pPr>
        <w:pStyle w:val="2"/>
      </w:pPr>
      <w:r>
        <w:t>Promoting the universal provision of electronic communications networks and electronic communications services and connectivity for all (para 3.1.2)</w:t>
      </w:r>
      <w:r w:rsidR="00C02213">
        <w:t>;</w:t>
      </w:r>
    </w:p>
    <w:p w14:paraId="09AFE3CD" w14:textId="4BBBDFD2" w:rsidR="00B55FC4" w:rsidRDefault="00B55FC4" w:rsidP="00140C60">
      <w:pPr>
        <w:pStyle w:val="2"/>
      </w:pPr>
      <w:r>
        <w:t>Promoting the interests of consumers with regards to the price, quality and the variety of electronic communications services (para 3.1.3)</w:t>
      </w:r>
      <w:r w:rsidR="00C02213">
        <w:t>;</w:t>
      </w:r>
    </w:p>
    <w:p w14:paraId="3BC2DF0D" w14:textId="01866850" w:rsidR="00B55FC4" w:rsidRDefault="00B55FC4" w:rsidP="00140C60">
      <w:pPr>
        <w:pStyle w:val="2"/>
      </w:pPr>
      <w:r>
        <w:t>Encouraging investment and innovation in the communications sector (para 3.1.5)</w:t>
      </w:r>
      <w:r w:rsidR="00C02213">
        <w:t>;</w:t>
      </w:r>
    </w:p>
    <w:p w14:paraId="3DF3DCAD" w14:textId="1C5C838E" w:rsidR="00B55FC4" w:rsidRDefault="00B55FC4" w:rsidP="001951A1">
      <w:pPr>
        <w:pStyle w:val="2"/>
      </w:pPr>
      <w:r>
        <w:t>Promoting competition within the ICT sector (para 3.1.7)</w:t>
      </w:r>
      <w:r w:rsidR="00C02213">
        <w:t>; and</w:t>
      </w:r>
    </w:p>
    <w:p w14:paraId="4F65A25A" w14:textId="77777777" w:rsidR="00B55FC4" w:rsidRDefault="00B55FC4" w:rsidP="001951A1">
      <w:pPr>
        <w:pStyle w:val="2"/>
      </w:pPr>
      <w:r>
        <w:t>Ensuring efficient use of the radio frequency spectrum (para 3.1.9).</w:t>
      </w:r>
    </w:p>
    <w:p w14:paraId="091237CE" w14:textId="302666DC" w:rsidR="00B55FC4" w:rsidRDefault="00B55FC4" w:rsidP="00DD38E2">
      <w:pPr>
        <w:pStyle w:val="1"/>
      </w:pPr>
      <w:r>
        <w:t xml:space="preserve">These objectives must be read in the context of the broader objectives </w:t>
      </w:r>
      <w:proofErr w:type="gramStart"/>
      <w:r>
        <w:t xml:space="preserve">of </w:t>
      </w:r>
      <w:r w:rsidR="000D585E">
        <w:t>:</w:t>
      </w:r>
      <w:proofErr w:type="gramEnd"/>
    </w:p>
    <w:p w14:paraId="1AF39CE6" w14:textId="77777777" w:rsidR="00B55FC4" w:rsidRDefault="00B55FC4" w:rsidP="00140C60">
      <w:pPr>
        <w:pStyle w:val="2"/>
      </w:pPr>
      <w:r>
        <w:t>The Policy on High Demand spectrum and Policy Direction of the Licencing of Wireless Open Access Network published in Government Gazette No. 42597 of 26 July 2019.</w:t>
      </w:r>
    </w:p>
    <w:p w14:paraId="0ED6ECD6" w14:textId="0AF80890" w:rsidR="00B55FC4" w:rsidRDefault="00B55FC4" w:rsidP="00140C60">
      <w:pPr>
        <w:pStyle w:val="2"/>
      </w:pPr>
      <w:r>
        <w:lastRenderedPageBreak/>
        <w:t>South Africa Connect: Creating Opportunities, Ensuring Inclusion - South Africa’s Broadband Policy in General Notice 953, Government Gazette No 37119 of 6 December 2013.</w:t>
      </w:r>
    </w:p>
    <w:p w14:paraId="4BD6B739" w14:textId="1292061A" w:rsidR="00C02213" w:rsidRDefault="00C02213" w:rsidP="001951A1">
      <w:pPr>
        <w:pStyle w:val="1"/>
      </w:pPr>
      <w:r>
        <w:t>ICASA stated in its Reason</w:t>
      </w:r>
      <w:r w:rsidR="000D585E">
        <w:t>s</w:t>
      </w:r>
      <w:r>
        <w:t xml:space="preserve"> Document that the “</w:t>
      </w:r>
      <w:r w:rsidRPr="00140C60">
        <w:rPr>
          <w:i/>
          <w:iCs w:val="0"/>
        </w:rPr>
        <w:t>intention of the Auction is to reveal the true fair value of the spectrum (including IMT3500), hence the spectrum will ultimately be assigned to the I-ECNS Licensees who value it the most</w:t>
      </w:r>
      <w:r>
        <w:t xml:space="preserve">”. (Reasons Document, </w:t>
      </w:r>
      <w:r w:rsidR="0048382F">
        <w:t>p37</w:t>
      </w:r>
      <w:r>
        <w:t>)</w:t>
      </w:r>
    </w:p>
    <w:p w14:paraId="5DC86133" w14:textId="00DFEBC5" w:rsidR="001737A4" w:rsidRDefault="001737A4" w:rsidP="001951A1">
      <w:pPr>
        <w:pStyle w:val="1"/>
      </w:pPr>
      <w:r>
        <w:t xml:space="preserve">In respect of </w:t>
      </w:r>
      <w:r w:rsidR="00C02213">
        <w:t xml:space="preserve">its </w:t>
      </w:r>
      <w:r>
        <w:t xml:space="preserve">obligation to consider competition in the market, ICASA notes in </w:t>
      </w:r>
      <w:r w:rsidR="00C02213">
        <w:t xml:space="preserve">the </w:t>
      </w:r>
      <w:r w:rsidR="00B5326B">
        <w:t xml:space="preserve">Market Inquiry </w:t>
      </w:r>
      <w:r>
        <w:t xml:space="preserve">Discussion Document that one of the competition concerns </w:t>
      </w:r>
      <w:r w:rsidR="00C02213">
        <w:t>has to do with t</w:t>
      </w:r>
      <w:r>
        <w:t xml:space="preserve">he </w:t>
      </w:r>
      <w:r w:rsidRPr="00C02213">
        <w:rPr>
          <w:lang w:val="en-ZA" w:eastAsia="en-GB"/>
        </w:rPr>
        <w:t>“greater ability to launch new services without affecting existing services – if one operator has this ability and not its competitors.”</w:t>
      </w:r>
      <w:r w:rsidR="00C02213" w:rsidRPr="00C02213">
        <w:rPr>
          <w:lang w:val="en-ZA" w:eastAsia="en-GB"/>
        </w:rPr>
        <w:t xml:space="preserve">  </w:t>
      </w:r>
      <w:r>
        <w:t>ICASA concludes:</w:t>
      </w:r>
    </w:p>
    <w:p w14:paraId="6B45BE23" w14:textId="77777777" w:rsidR="001737A4" w:rsidRPr="0040024D" w:rsidRDefault="001737A4" w:rsidP="003A1423">
      <w:pPr>
        <w:pStyle w:val="Quote"/>
        <w:rPr>
          <w:lang w:val="en-ZA" w:eastAsia="en-GB"/>
        </w:rPr>
      </w:pPr>
      <w:r>
        <w:t>“</w:t>
      </w:r>
      <w:r w:rsidRPr="0040024D">
        <w:rPr>
          <w:lang w:val="en-ZA" w:eastAsia="en-GB"/>
        </w:rPr>
        <w:t>Neither an unmatchable competitive advantage nor spectrum hoarding appears to be a feature of the market in South Africa currently. Future assignments will need to consider spectrum caps in order to ensure that this continues to be the case, and should ensure that a single operator does not have an advantage (</w:t>
      </w:r>
      <w:proofErr w:type="gramStart"/>
      <w:r w:rsidRPr="0040024D">
        <w:rPr>
          <w:lang w:val="en-ZA" w:eastAsia="en-GB"/>
        </w:rPr>
        <w:t>i.e.</w:t>
      </w:r>
      <w:proofErr w:type="gramEnd"/>
      <w:r w:rsidRPr="0040024D">
        <w:rPr>
          <w:lang w:val="en-ZA" w:eastAsia="en-GB"/>
        </w:rPr>
        <w:t xml:space="preserve"> to launch a new service) over the other competitors. </w:t>
      </w:r>
    </w:p>
    <w:p w14:paraId="6A13F7E8" w14:textId="2FAB1BFC" w:rsidR="001737A4" w:rsidRDefault="001737A4" w:rsidP="00ED4F63">
      <w:pPr>
        <w:pStyle w:val="Quote"/>
      </w:pPr>
      <w:r>
        <w:t>(Discussion Document, para 8</w:t>
      </w:r>
      <w:r w:rsidR="002925AF">
        <w:t>9</w:t>
      </w:r>
      <w:r>
        <w:t>)</w:t>
      </w:r>
    </w:p>
    <w:p w14:paraId="0A46A857" w14:textId="02CFB5FB" w:rsidR="00B55FC4" w:rsidRDefault="00C02213" w:rsidP="001951A1">
      <w:pPr>
        <w:pStyle w:val="1"/>
      </w:pPr>
      <w:r>
        <w:t xml:space="preserve">I submit that the </w:t>
      </w:r>
      <w:r w:rsidR="00B55FC4">
        <w:t xml:space="preserve">Opt-In Scheme has the potential to </w:t>
      </w:r>
      <w:r>
        <w:t xml:space="preserve">produce </w:t>
      </w:r>
      <w:r w:rsidR="00B55FC4">
        <w:t xml:space="preserve">outcomes that </w:t>
      </w:r>
      <w:r w:rsidR="00F128B5">
        <w:t xml:space="preserve">will </w:t>
      </w:r>
      <w:r w:rsidR="00B55FC4">
        <w:t>undermine these objecti</w:t>
      </w:r>
      <w:r w:rsidR="00B96499">
        <w:t>ves</w:t>
      </w:r>
      <w:r w:rsidR="001737A4">
        <w:t xml:space="preserve"> and </w:t>
      </w:r>
      <w:r w:rsidR="00AD5DF2">
        <w:t xml:space="preserve">to </w:t>
      </w:r>
      <w:r w:rsidR="001737A4">
        <w:t>create the very situation ICASA has stated should be avoided.</w:t>
      </w:r>
      <w:r>
        <w:t xml:space="preserve"> </w:t>
      </w:r>
      <w:r w:rsidR="000F4625">
        <w:t xml:space="preserve"> </w:t>
      </w:r>
      <w:r>
        <w:t xml:space="preserve">I make this submission for the </w:t>
      </w:r>
      <w:r w:rsidR="000F4625">
        <w:t>following reasons:</w:t>
      </w:r>
    </w:p>
    <w:p w14:paraId="240F3437" w14:textId="5E0D1131" w:rsidR="008025C9" w:rsidRDefault="000F4625" w:rsidP="00140C60">
      <w:pPr>
        <w:pStyle w:val="2"/>
        <w:rPr>
          <w:lang w:val="en-US"/>
        </w:rPr>
      </w:pPr>
      <w:r>
        <w:t>I</w:t>
      </w:r>
      <w:r w:rsidR="0083484D" w:rsidRPr="00C0001D">
        <w:t xml:space="preserve">t is </w:t>
      </w:r>
      <w:r w:rsidR="00F128B5">
        <w:t>generally accepted</w:t>
      </w:r>
      <w:r w:rsidR="00F128B5" w:rsidRPr="00C0001D">
        <w:t xml:space="preserve"> </w:t>
      </w:r>
      <w:r w:rsidR="0083484D" w:rsidRPr="00C0001D">
        <w:t>that 5G is a</w:t>
      </w:r>
      <w:r w:rsidR="0083484D" w:rsidRPr="00857BD4">
        <w:t xml:space="preserve"> critical requirement for the Information Technology services of the future, and that for any </w:t>
      </w:r>
      <w:r w:rsidR="0083484D" w:rsidRPr="00857BD4">
        <w:lastRenderedPageBreak/>
        <w:t xml:space="preserve">network provider looking to remain relevant in the 5G environment, an essential ingredient </w:t>
      </w:r>
      <w:r w:rsidR="0083484D" w:rsidRPr="00857BD4">
        <w:rPr>
          <w:lang w:val="en-US"/>
        </w:rPr>
        <w:t>is spectrum in the 3500MHz band.</w:t>
      </w:r>
      <w:r w:rsidR="0083484D">
        <w:rPr>
          <w:lang w:val="en-US"/>
        </w:rPr>
        <w:t xml:space="preserve">  </w:t>
      </w:r>
    </w:p>
    <w:p w14:paraId="2B101B8E" w14:textId="5C8D1B0F" w:rsidR="0083484D" w:rsidRDefault="000D585E" w:rsidP="00140C60">
      <w:pPr>
        <w:pStyle w:val="2"/>
        <w:rPr>
          <w:lang w:val="en-US"/>
        </w:rPr>
      </w:pPr>
      <w:r>
        <w:rPr>
          <w:lang w:val="en-US"/>
        </w:rPr>
        <w:t>However, the ITA creates a</w:t>
      </w:r>
      <w:r w:rsidR="0083484D" w:rsidRPr="004B378D">
        <w:rPr>
          <w:lang w:val="en-US"/>
        </w:rPr>
        <w:t xml:space="preserve"> scheme that deliberately sterilizes the two major operators </w:t>
      </w:r>
      <w:r w:rsidR="000F4625">
        <w:rPr>
          <w:lang w:val="en-US"/>
        </w:rPr>
        <w:t xml:space="preserve">(MTN and Vodacom) </w:t>
      </w:r>
      <w:r w:rsidR="0083484D" w:rsidRPr="004B378D">
        <w:rPr>
          <w:lang w:val="en-US"/>
        </w:rPr>
        <w:t xml:space="preserve">from bidding </w:t>
      </w:r>
      <w:r w:rsidR="00F128B5">
        <w:rPr>
          <w:lang w:val="en-US"/>
        </w:rPr>
        <w:t>during the Opt-In Round</w:t>
      </w:r>
      <w:r w:rsidR="00F128B5" w:rsidRPr="004B378D">
        <w:rPr>
          <w:lang w:val="en-US"/>
        </w:rPr>
        <w:t xml:space="preserve"> </w:t>
      </w:r>
      <w:r w:rsidR="0083484D" w:rsidRPr="004B378D">
        <w:rPr>
          <w:lang w:val="en-US"/>
        </w:rPr>
        <w:t xml:space="preserve">for the spectrum </w:t>
      </w:r>
      <w:r>
        <w:rPr>
          <w:lang w:val="en-US"/>
        </w:rPr>
        <w:t xml:space="preserve">that </w:t>
      </w:r>
      <w:r w:rsidR="0083484D" w:rsidRPr="004B378D">
        <w:rPr>
          <w:lang w:val="en-US"/>
        </w:rPr>
        <w:t>they need to advance</w:t>
      </w:r>
      <w:r w:rsidR="00B96499">
        <w:rPr>
          <w:lang w:val="en-US"/>
        </w:rPr>
        <w:t xml:space="preserve"> their</w:t>
      </w:r>
      <w:r w:rsidR="0083484D" w:rsidRPr="004B378D">
        <w:rPr>
          <w:lang w:val="en-US"/>
        </w:rPr>
        <w:t xml:space="preserve"> 5G networks</w:t>
      </w:r>
      <w:r>
        <w:rPr>
          <w:lang w:val="en-US"/>
        </w:rPr>
        <w:t xml:space="preserve">.  As I have explained above, this may </w:t>
      </w:r>
      <w:r w:rsidR="00F128B5">
        <w:rPr>
          <w:lang w:val="en-US"/>
        </w:rPr>
        <w:t xml:space="preserve">conceivably </w:t>
      </w:r>
      <w:r>
        <w:rPr>
          <w:lang w:val="en-US"/>
        </w:rPr>
        <w:t xml:space="preserve">produce an outcome in which MTN is </w:t>
      </w:r>
      <w:r w:rsidR="00F128B5">
        <w:rPr>
          <w:lang w:val="en-US"/>
        </w:rPr>
        <w:t xml:space="preserve">foreclosed from bidding for </w:t>
      </w:r>
      <w:r w:rsidR="00B96499">
        <w:rPr>
          <w:lang w:val="en-US"/>
        </w:rPr>
        <w:t xml:space="preserve">any </w:t>
      </w:r>
      <w:r>
        <w:rPr>
          <w:lang w:val="en-US"/>
        </w:rPr>
        <w:t>3500MHz spectrum</w:t>
      </w:r>
      <w:r w:rsidR="001540CC">
        <w:rPr>
          <w:lang w:val="en-US"/>
        </w:rPr>
        <w:t xml:space="preserve"> at all</w:t>
      </w:r>
      <w:r>
        <w:rPr>
          <w:lang w:val="en-US"/>
        </w:rPr>
        <w:t xml:space="preserve">.  </w:t>
      </w:r>
      <w:r w:rsidR="00F128B5">
        <w:rPr>
          <w:lang w:val="en-US"/>
        </w:rPr>
        <w:t>That</w:t>
      </w:r>
      <w:r>
        <w:rPr>
          <w:lang w:val="en-US"/>
        </w:rPr>
        <w:t xml:space="preserve"> would undermine the objectives of the </w:t>
      </w:r>
      <w:proofErr w:type="gramStart"/>
      <w:r>
        <w:rPr>
          <w:lang w:val="en-US"/>
        </w:rPr>
        <w:t>ECA, and</w:t>
      </w:r>
      <w:proofErr w:type="gramEnd"/>
      <w:r>
        <w:rPr>
          <w:lang w:val="en-US"/>
        </w:rPr>
        <w:t xml:space="preserve"> would be irrational and unreasonable.</w:t>
      </w:r>
    </w:p>
    <w:p w14:paraId="2D90A3D5" w14:textId="19E2179A" w:rsidR="0083484D" w:rsidRPr="00D672B0" w:rsidRDefault="000F4625" w:rsidP="00140C60">
      <w:pPr>
        <w:pStyle w:val="2"/>
      </w:pPr>
      <w:r>
        <w:t>The effect of the Opt-In Scheme is that the</w:t>
      </w:r>
      <w:r w:rsidR="0083484D" w:rsidRPr="00AC098B">
        <w:t xml:space="preserve"> </w:t>
      </w:r>
      <w:r w:rsidR="0083484D" w:rsidRPr="00E344B9">
        <w:rPr>
          <w:u w:val="single"/>
        </w:rPr>
        <w:t>least</w:t>
      </w:r>
      <w:r w:rsidR="0083484D" w:rsidRPr="00AC098B">
        <w:t xml:space="preserve"> efficient users of spectrum will </w:t>
      </w:r>
      <w:r>
        <w:t xml:space="preserve">be </w:t>
      </w:r>
      <w:r w:rsidR="0083484D" w:rsidRPr="00AC098B">
        <w:t xml:space="preserve">prioritised over the </w:t>
      </w:r>
      <w:r w:rsidRPr="00E344B9">
        <w:rPr>
          <w:u w:val="single"/>
        </w:rPr>
        <w:t>more</w:t>
      </w:r>
      <w:r>
        <w:t xml:space="preserve"> efficient users of spectrum.  </w:t>
      </w:r>
      <w:r w:rsidR="0083484D" w:rsidRPr="00AC098B">
        <w:t xml:space="preserve">It </w:t>
      </w:r>
      <w:r w:rsidR="00D672B0">
        <w:t>is</w:t>
      </w:r>
      <w:r w:rsidR="0083484D" w:rsidRPr="00AC098B">
        <w:t xml:space="preserve"> irrational to exclude operators that make best use of the spectrum and value it the most</w:t>
      </w:r>
      <w:r w:rsidR="000D585E">
        <w:t>,</w:t>
      </w:r>
      <w:r w:rsidR="0083484D" w:rsidRPr="00AC098B">
        <w:t xml:space="preserve"> whilst </w:t>
      </w:r>
      <w:r w:rsidR="0083484D" w:rsidRPr="00D672B0">
        <w:t xml:space="preserve">rewarding the most inefficient users of this public good with more spectrum. </w:t>
      </w:r>
      <w:r w:rsidR="000D585E">
        <w:t xml:space="preserve">  This undermines the objectives of the ECA</w:t>
      </w:r>
      <w:r w:rsidR="005C392B">
        <w:t xml:space="preserve"> and the ITA.</w:t>
      </w:r>
    </w:p>
    <w:p w14:paraId="63252201" w14:textId="49D329A5" w:rsidR="00C67625" w:rsidRDefault="000D538E" w:rsidP="00140C60">
      <w:pPr>
        <w:pStyle w:val="2"/>
      </w:pPr>
      <w:r w:rsidRPr="00D672B0">
        <w:t>Given 3500</w:t>
      </w:r>
      <w:r w:rsidR="000D0CB5">
        <w:t xml:space="preserve"> MHz</w:t>
      </w:r>
      <w:r w:rsidRPr="00D672B0">
        <w:t xml:space="preserve"> scarcity and the bias of the existing assignments towards Tier</w:t>
      </w:r>
      <w:r w:rsidR="008025C9">
        <w:t>-</w:t>
      </w:r>
      <w:r w:rsidRPr="00D672B0">
        <w:t>2 operators, 5G spectrum should be awarded on a level playing field across the industry</w:t>
      </w:r>
      <w:r w:rsidR="00C67625">
        <w:t xml:space="preserve">.  </w:t>
      </w:r>
      <w:r w:rsidR="000F4625">
        <w:t>The Opt-In Scheme creates a playing field that is uneven.</w:t>
      </w:r>
      <w:r w:rsidR="000D585E">
        <w:t xml:space="preserve">  This undermines the objectives of the ECA.  It is also irrational and unreasonable. </w:t>
      </w:r>
    </w:p>
    <w:p w14:paraId="16AF9B85" w14:textId="0CA788D5" w:rsidR="0039184E" w:rsidRPr="004C7398" w:rsidRDefault="0039184E">
      <w:pPr>
        <w:pStyle w:val="Heading2"/>
        <w:rPr>
          <w:lang w:val="en-US"/>
        </w:rPr>
      </w:pPr>
      <w:bookmarkStart w:id="22" w:name="_Toc62222157"/>
      <w:r w:rsidRPr="004C7398">
        <w:rPr>
          <w:lang w:val="en-US"/>
        </w:rPr>
        <w:t xml:space="preserve">The Opt-In Scheme is based on </w:t>
      </w:r>
      <w:r>
        <w:rPr>
          <w:lang w:val="en-US"/>
        </w:rPr>
        <w:t xml:space="preserve">an </w:t>
      </w:r>
      <w:r w:rsidRPr="004C7398">
        <w:rPr>
          <w:lang w:val="en-US"/>
        </w:rPr>
        <w:t xml:space="preserve">error of </w:t>
      </w:r>
      <w:r>
        <w:rPr>
          <w:lang w:val="en-US"/>
        </w:rPr>
        <w:t>f</w:t>
      </w:r>
      <w:r w:rsidRPr="004C7398">
        <w:rPr>
          <w:lang w:val="en-US"/>
        </w:rPr>
        <w:t>act</w:t>
      </w:r>
      <w:bookmarkEnd w:id="22"/>
    </w:p>
    <w:p w14:paraId="69EE05D8" w14:textId="48AEBC26" w:rsidR="0039184E" w:rsidRPr="0083484D" w:rsidRDefault="0039184E" w:rsidP="001951A1">
      <w:pPr>
        <w:pStyle w:val="1"/>
      </w:pPr>
      <w:r w:rsidRPr="0083484D">
        <w:t>ICASA says in paragraph 88 of its competition assessment that</w:t>
      </w:r>
      <w:r>
        <w:t xml:space="preserve"> a</w:t>
      </w:r>
      <w:r w:rsidRPr="0083484D">
        <w:t xml:space="preserve"> “Tier-1 player’s existing spectrum holdings, site dominance and dominance in retail </w:t>
      </w:r>
      <w:r w:rsidRPr="0083484D">
        <w:lastRenderedPageBreak/>
        <w:t xml:space="preserve">markets are likely to be sufficient for it to be a credible national wholesaler into future </w:t>
      </w:r>
      <w:r w:rsidRPr="00E344B9">
        <w:t>even if</w:t>
      </w:r>
      <w:r w:rsidRPr="00E344B9">
        <w:rPr>
          <w:b/>
          <w:bCs/>
        </w:rPr>
        <w:t xml:space="preserve"> it wins no additional spectrum </w:t>
      </w:r>
      <w:r w:rsidRPr="0083484D">
        <w:t>(particularly sub-1GHz low frequency spectrum) in the auction/award</w:t>
      </w:r>
      <w:r w:rsidR="00F128B5">
        <w:t>”</w:t>
      </w:r>
      <w:r w:rsidR="00B96499">
        <w:t xml:space="preserve"> (emphasis in original).</w:t>
      </w:r>
    </w:p>
    <w:p w14:paraId="6B632913" w14:textId="43D09DEC" w:rsidR="0039184E" w:rsidRPr="0083484D" w:rsidRDefault="0039184E" w:rsidP="001951A1">
      <w:pPr>
        <w:pStyle w:val="1"/>
      </w:pPr>
      <w:r>
        <w:t xml:space="preserve">There is no basis for </w:t>
      </w:r>
      <w:r w:rsidR="00F128B5">
        <w:t>ICASA’s</w:t>
      </w:r>
      <w:r>
        <w:t xml:space="preserve"> </w:t>
      </w:r>
      <w:r w:rsidR="008025C9">
        <w:t xml:space="preserve">extraordinary </w:t>
      </w:r>
      <w:r w:rsidR="001540CC">
        <w:t xml:space="preserve">statement </w:t>
      </w:r>
      <w:r w:rsidR="000D585E">
        <w:t>that MTN would remain a credible national wholesaler “even if it wins no additional spectrum”.</w:t>
      </w:r>
      <w:r>
        <w:t xml:space="preserve">  </w:t>
      </w:r>
      <w:r w:rsidR="000D585E">
        <w:t>T</w:t>
      </w:r>
      <w:r>
        <w:t xml:space="preserve">he </w:t>
      </w:r>
      <w:r w:rsidRPr="0083484D">
        <w:t xml:space="preserve">evidence </w:t>
      </w:r>
      <w:r>
        <w:t xml:space="preserve">relied on by </w:t>
      </w:r>
      <w:r w:rsidRPr="0083484D">
        <w:t xml:space="preserve">ICASA </w:t>
      </w:r>
      <w:r w:rsidR="008025C9">
        <w:t xml:space="preserve">establishes </w:t>
      </w:r>
      <w:r w:rsidRPr="0083484D">
        <w:t xml:space="preserve">the </w:t>
      </w:r>
      <w:r>
        <w:t>exact opposite.  For example</w:t>
      </w:r>
      <w:r w:rsidRPr="0083484D">
        <w:t>:</w:t>
      </w:r>
    </w:p>
    <w:p w14:paraId="24E9B7DC" w14:textId="0BEC3D67" w:rsidR="0039184E" w:rsidRPr="0083484D" w:rsidRDefault="0039184E" w:rsidP="00140C60">
      <w:pPr>
        <w:pStyle w:val="2"/>
      </w:pPr>
      <w:r w:rsidRPr="0083484D">
        <w:t>In paragraph 29 of the competition assessment (page 9</w:t>
      </w:r>
      <w:r w:rsidR="008974AE">
        <w:t>4</w:t>
      </w:r>
      <w:r w:rsidRPr="0083484D">
        <w:t xml:space="preserve"> of the </w:t>
      </w:r>
      <w:r w:rsidR="00C97B08">
        <w:t>Reasons Document</w:t>
      </w:r>
      <w:r w:rsidRPr="0083484D">
        <w:t xml:space="preserve">), ICASA </w:t>
      </w:r>
      <w:r>
        <w:t xml:space="preserve">states that </w:t>
      </w:r>
      <w:r w:rsidRPr="0083484D">
        <w:t xml:space="preserve">“Table 2 together with Figure 1 clearly illustrates that given the number of subscribers on each network, Vodacom and MTN are more spectrum constrained that the other two operators.” </w:t>
      </w:r>
      <w:r w:rsidR="00436257">
        <w:t xml:space="preserve"> </w:t>
      </w:r>
      <w:r w:rsidRPr="0083484D">
        <w:t xml:space="preserve">This points to a need for MTN to acquire </w:t>
      </w:r>
      <w:r w:rsidR="000D585E" w:rsidRPr="00E344B9">
        <w:rPr>
          <w:u w:val="single"/>
        </w:rPr>
        <w:t>more</w:t>
      </w:r>
      <w:r w:rsidRPr="0083484D">
        <w:t xml:space="preserve"> spectrum. </w:t>
      </w:r>
    </w:p>
    <w:p w14:paraId="353F396E" w14:textId="00FC4BE6" w:rsidR="0039184E" w:rsidRPr="0083484D" w:rsidRDefault="0039184E" w:rsidP="00140C60">
      <w:pPr>
        <w:pStyle w:val="2"/>
      </w:pPr>
      <w:r w:rsidRPr="0083484D">
        <w:t xml:space="preserve">In paragraph 30 (page 95 of the </w:t>
      </w:r>
      <w:r w:rsidR="008974AE">
        <w:t>Reasons Document</w:t>
      </w:r>
      <w:r w:rsidRPr="0083484D">
        <w:t>), ICASA concludes that “the current spectrum assignments are reasonably balanced among the four MNO’s [MTN, Vodacom, Telkom and Cell C] offering nationwide services, except for Telkom’s lack of sub-1GHz spectrum.”</w:t>
      </w:r>
      <w:r w:rsidR="00FF5BCC">
        <w:t xml:space="preserve"> </w:t>
      </w:r>
      <w:r w:rsidRPr="0083484D">
        <w:t xml:space="preserve"> Based on this conclusion, </w:t>
      </w:r>
      <w:r w:rsidR="00B96499">
        <w:t xml:space="preserve">all </w:t>
      </w:r>
      <w:r w:rsidRPr="0083484D">
        <w:t xml:space="preserve">four operators should be afforded the same opportunity to compete for new spectrum. </w:t>
      </w:r>
    </w:p>
    <w:p w14:paraId="558B07E0" w14:textId="4459F493" w:rsidR="0039184E" w:rsidRDefault="0039184E" w:rsidP="00140C60">
      <w:pPr>
        <w:pStyle w:val="2"/>
      </w:pPr>
      <w:r>
        <w:t xml:space="preserve">In the </w:t>
      </w:r>
      <w:r w:rsidRPr="0083484D">
        <w:t xml:space="preserve">discussion document emanating from the </w:t>
      </w:r>
      <w:r>
        <w:t xml:space="preserve">Market Inquiry, </w:t>
      </w:r>
      <w:r w:rsidRPr="0083484D">
        <w:t xml:space="preserve">ICASA concluded that it “considers a national market for spectrum, an important input for the supply of mobile services. </w:t>
      </w:r>
      <w:r w:rsidR="00FF5BCC">
        <w:t xml:space="preserve"> </w:t>
      </w:r>
      <w:r w:rsidRPr="0083484D">
        <w:t xml:space="preserve">While the supply of spectrum is limited, there are no licensees that have substantially greater holdings than other licensees, and there are </w:t>
      </w:r>
      <w:r w:rsidRPr="0083484D">
        <w:lastRenderedPageBreak/>
        <w:t xml:space="preserve">no licensees that have significant market power in this market.” </w:t>
      </w:r>
      <w:r w:rsidR="00E3417F">
        <w:t>(Market Inquiry</w:t>
      </w:r>
      <w:r w:rsidR="00E3417F" w:rsidRPr="004B378D">
        <w:t xml:space="preserve">, </w:t>
      </w:r>
      <w:r w:rsidR="00E3417F">
        <w:t>Discussion</w:t>
      </w:r>
      <w:r w:rsidR="00E3417F" w:rsidRPr="004B378D">
        <w:t xml:space="preserve"> Document, p1</w:t>
      </w:r>
      <w:r w:rsidR="00E3417F">
        <w:t>0</w:t>
      </w:r>
      <w:r w:rsidR="00E3417F" w:rsidRPr="004B378D">
        <w:t xml:space="preserve">, para </w:t>
      </w:r>
      <w:r w:rsidR="00E3417F">
        <w:t>1.3.2</w:t>
      </w:r>
      <w:r w:rsidR="00E3417F" w:rsidRPr="004B378D">
        <w:t>.)</w:t>
      </w:r>
      <w:r w:rsidR="00B5326B">
        <w:t xml:space="preserve">. </w:t>
      </w:r>
      <w:r w:rsidR="008E4282">
        <w:t xml:space="preserve"> </w:t>
      </w:r>
      <w:r w:rsidR="00B5326B" w:rsidRPr="0083484D">
        <w:t>ICASA has inexplicably departed from this position</w:t>
      </w:r>
      <w:r w:rsidR="00B5326B">
        <w:t xml:space="preserve"> in the ITA.</w:t>
      </w:r>
    </w:p>
    <w:p w14:paraId="51BA1130" w14:textId="77777777" w:rsidR="0039184E" w:rsidRPr="0058586B" w:rsidRDefault="0039184E" w:rsidP="001951A1">
      <w:pPr>
        <w:pStyle w:val="1"/>
        <w:rPr>
          <w:lang w:val="en-US"/>
        </w:rPr>
      </w:pPr>
      <w:r>
        <w:t>ICASA’s conclusion is not only based on errors of fact, but</w:t>
      </w:r>
      <w:r w:rsidRPr="0083484D">
        <w:t xml:space="preserve"> it ignores the stark reality that it will take another 20 years before the next spectrum auction takes place</w:t>
      </w:r>
      <w:r>
        <w:t xml:space="preserve">.  As I have explained above, it is simply not possible for MTN to remain a competitive operator without access to the spectrum that will enable the roll-out of 5G technology. </w:t>
      </w:r>
    </w:p>
    <w:p w14:paraId="5689452A" w14:textId="01B2BFB3" w:rsidR="00841174" w:rsidRDefault="00E83BF3">
      <w:pPr>
        <w:pStyle w:val="Heading2"/>
        <w:rPr>
          <w:lang w:val="en-US"/>
        </w:rPr>
      </w:pPr>
      <w:bookmarkStart w:id="23" w:name="_Toc62222158"/>
      <w:r>
        <w:rPr>
          <w:lang w:val="en-US"/>
        </w:rPr>
        <w:t xml:space="preserve">The Opt-In Scheme is disproportionate </w:t>
      </w:r>
      <w:r w:rsidR="00D71DCE">
        <w:rPr>
          <w:lang w:val="en-US"/>
        </w:rPr>
        <w:t>and unreasonable</w:t>
      </w:r>
      <w:bookmarkEnd w:id="23"/>
    </w:p>
    <w:p w14:paraId="04638C44" w14:textId="5F2AC105" w:rsidR="00416FA0" w:rsidRDefault="00416FA0" w:rsidP="001951A1">
      <w:pPr>
        <w:pStyle w:val="1"/>
        <w:rPr>
          <w:lang w:val="en-US"/>
        </w:rPr>
      </w:pPr>
      <w:proofErr w:type="gramStart"/>
      <w:r>
        <w:rPr>
          <w:lang w:val="en-US"/>
        </w:rPr>
        <w:t>In light of</w:t>
      </w:r>
      <w:proofErr w:type="gramEnd"/>
      <w:r>
        <w:rPr>
          <w:lang w:val="en-US"/>
        </w:rPr>
        <w:t xml:space="preserve"> the spectrum caps and spectrum set-aside, </w:t>
      </w:r>
      <w:r w:rsidR="00D71DCE">
        <w:rPr>
          <w:lang w:val="en-US"/>
        </w:rPr>
        <w:t xml:space="preserve">I submit that </w:t>
      </w:r>
      <w:r>
        <w:rPr>
          <w:lang w:val="en-US"/>
        </w:rPr>
        <w:t xml:space="preserve">spectrum reservation </w:t>
      </w:r>
      <w:r w:rsidR="00D71DCE">
        <w:rPr>
          <w:lang w:val="en-US"/>
        </w:rPr>
        <w:t xml:space="preserve">is </w:t>
      </w:r>
      <w:r>
        <w:rPr>
          <w:lang w:val="en-US"/>
        </w:rPr>
        <w:t xml:space="preserve">not necessary to achieve the desired policy outcomes and that it </w:t>
      </w:r>
      <w:r w:rsidR="00D71DCE">
        <w:rPr>
          <w:lang w:val="en-US"/>
        </w:rPr>
        <w:t xml:space="preserve">amounts to a </w:t>
      </w:r>
      <w:r w:rsidR="00822D35">
        <w:rPr>
          <w:lang w:val="en-US"/>
        </w:rPr>
        <w:t>disproportionate</w:t>
      </w:r>
      <w:r w:rsidR="00D71DCE">
        <w:rPr>
          <w:lang w:val="en-US"/>
        </w:rPr>
        <w:t xml:space="preserve"> and unreasonable</w:t>
      </w:r>
      <w:r w:rsidR="000D0CB5">
        <w:rPr>
          <w:lang w:val="en-US"/>
        </w:rPr>
        <w:t xml:space="preserve"> </w:t>
      </w:r>
      <w:r>
        <w:rPr>
          <w:lang w:val="en-US"/>
        </w:rPr>
        <w:t>intervention.</w:t>
      </w:r>
    </w:p>
    <w:p w14:paraId="43533CFE" w14:textId="7A08BFBA" w:rsidR="00D17F01" w:rsidRDefault="00D17F01" w:rsidP="001951A1">
      <w:pPr>
        <w:pStyle w:val="1"/>
        <w:rPr>
          <w:lang w:val="en-US"/>
        </w:rPr>
      </w:pPr>
      <w:r>
        <w:rPr>
          <w:lang w:val="en-US"/>
        </w:rPr>
        <w:t>ICASA finds in the Competition Assessment that</w:t>
      </w:r>
      <w:r w:rsidR="00416FA0">
        <w:rPr>
          <w:lang w:val="en-US"/>
        </w:rPr>
        <w:t>:</w:t>
      </w:r>
      <w:r>
        <w:rPr>
          <w:lang w:val="en-US"/>
        </w:rPr>
        <w:t xml:space="preserve"> </w:t>
      </w:r>
    </w:p>
    <w:p w14:paraId="200B44B6" w14:textId="28B23A33" w:rsidR="00D17F01" w:rsidRDefault="00D17F01" w:rsidP="003A1423">
      <w:pPr>
        <w:pStyle w:val="Quote"/>
        <w:rPr>
          <w:lang w:val="en-US"/>
        </w:rPr>
      </w:pPr>
      <w:r>
        <w:rPr>
          <w:lang w:val="en-US"/>
        </w:rPr>
        <w:t xml:space="preserve">“the current spectrum </w:t>
      </w:r>
      <w:r w:rsidR="00000CD2">
        <w:rPr>
          <w:lang w:val="en-US"/>
        </w:rPr>
        <w:t>assignments</w:t>
      </w:r>
      <w:r>
        <w:rPr>
          <w:lang w:val="en-US"/>
        </w:rPr>
        <w:t xml:space="preserve"> are reasonably balanced among the four MNOs offering </w:t>
      </w:r>
      <w:r w:rsidR="00000CD2">
        <w:rPr>
          <w:lang w:val="en-US"/>
        </w:rPr>
        <w:t>nationwide</w:t>
      </w:r>
      <w:r>
        <w:rPr>
          <w:lang w:val="en-US"/>
        </w:rPr>
        <w:t xml:space="preserve"> service, except for Telkom’s lack of sub-1GHz spectrum.  At the same time, Telkom has significantly higher assignments of spectrum overall.”</w:t>
      </w:r>
    </w:p>
    <w:p w14:paraId="74E7E6E3" w14:textId="61F66B0F" w:rsidR="00D17F01" w:rsidRDefault="00D17F01">
      <w:pPr>
        <w:pStyle w:val="Quote"/>
        <w:rPr>
          <w:lang w:val="en-US"/>
        </w:rPr>
      </w:pPr>
      <w:r>
        <w:rPr>
          <w:lang w:val="en-US"/>
        </w:rPr>
        <w:t>(Competition Assessment, Reasons Document, p95, para 30)</w:t>
      </w:r>
    </w:p>
    <w:p w14:paraId="2C7F5131" w14:textId="0C250B31" w:rsidR="00FB7431" w:rsidRDefault="00FB7431" w:rsidP="001951A1">
      <w:pPr>
        <w:pStyle w:val="1"/>
        <w:rPr>
          <w:lang w:val="en-US"/>
        </w:rPr>
      </w:pPr>
      <w:r>
        <w:rPr>
          <w:lang w:val="en-US"/>
        </w:rPr>
        <w:t xml:space="preserve">ICASA </w:t>
      </w:r>
      <w:r w:rsidR="00000CD2">
        <w:rPr>
          <w:lang w:val="en-US"/>
        </w:rPr>
        <w:t>concludes</w:t>
      </w:r>
      <w:r>
        <w:rPr>
          <w:lang w:val="en-US"/>
        </w:rPr>
        <w:t xml:space="preserve"> that its “</w:t>
      </w:r>
      <w:r w:rsidRPr="00000CD2">
        <w:rPr>
          <w:lang w:val="en-US"/>
        </w:rPr>
        <w:t>pro-competition measures … are individually and collectively justified and proportionate</w:t>
      </w:r>
      <w:r>
        <w:rPr>
          <w:lang w:val="en-US"/>
        </w:rPr>
        <w:t>.”  (Competition Assessment, Reasons Document, p119, para 97)</w:t>
      </w:r>
    </w:p>
    <w:p w14:paraId="30E873BE" w14:textId="4DE4059C" w:rsidR="00FB7431" w:rsidRDefault="00FB7431" w:rsidP="001951A1">
      <w:pPr>
        <w:pStyle w:val="1"/>
        <w:rPr>
          <w:lang w:val="en-US"/>
        </w:rPr>
      </w:pPr>
      <w:r w:rsidRPr="00000CD2">
        <w:rPr>
          <w:lang w:val="en-US"/>
        </w:rPr>
        <w:lastRenderedPageBreak/>
        <w:t>This statement, however, refers specifically to “sub-1GHz caps, overall spectrum caps, spectrum portfoli</w:t>
      </w:r>
      <w:r w:rsidR="00567DE3" w:rsidRPr="00000CD2">
        <w:rPr>
          <w:lang w:val="en-US"/>
        </w:rPr>
        <w:t>o</w:t>
      </w:r>
      <w:r w:rsidRPr="00000CD2">
        <w:rPr>
          <w:lang w:val="en-US"/>
        </w:rPr>
        <w:t xml:space="preserve">s/floors, WOAN.”  </w:t>
      </w:r>
      <w:r w:rsidR="00000CD2" w:rsidRPr="00000CD2">
        <w:rPr>
          <w:lang w:val="en-US"/>
        </w:rPr>
        <w:t xml:space="preserve">In Step 4 of the Competition Assessment, ICASA considers what measures are “appropriate and proportionate to adopt to enhance national wholesale </w:t>
      </w:r>
      <w:proofErr w:type="gramStart"/>
      <w:r w:rsidR="00000CD2" w:rsidRPr="00000CD2">
        <w:rPr>
          <w:lang w:val="en-US"/>
        </w:rPr>
        <w:t>competition”  (</w:t>
      </w:r>
      <w:proofErr w:type="gramEnd"/>
      <w:r w:rsidR="00000CD2" w:rsidRPr="00000CD2">
        <w:rPr>
          <w:lang w:val="en-US"/>
        </w:rPr>
        <w:t xml:space="preserve">Competition Assessment, Reasons Document, p120, para 100). </w:t>
      </w:r>
      <w:r w:rsidR="00FC782B">
        <w:rPr>
          <w:lang w:val="en-US"/>
        </w:rPr>
        <w:t xml:space="preserve"> </w:t>
      </w:r>
      <w:r w:rsidR="00000CD2" w:rsidRPr="00000CD2">
        <w:rPr>
          <w:lang w:val="en-US"/>
        </w:rPr>
        <w:t xml:space="preserve">ICASA’s competition assessment does not engage </w:t>
      </w:r>
      <w:r w:rsidR="00000CD2">
        <w:rPr>
          <w:lang w:val="en-US"/>
        </w:rPr>
        <w:t>with the</w:t>
      </w:r>
      <w:r w:rsidRPr="00000CD2">
        <w:rPr>
          <w:lang w:val="en-US"/>
        </w:rPr>
        <w:t xml:space="preserve"> </w:t>
      </w:r>
      <w:r w:rsidR="00D71DCE">
        <w:rPr>
          <w:lang w:val="en-US"/>
        </w:rPr>
        <w:t>O</w:t>
      </w:r>
      <w:r w:rsidRPr="00000CD2">
        <w:rPr>
          <w:lang w:val="en-US"/>
        </w:rPr>
        <w:t xml:space="preserve">pt-in </w:t>
      </w:r>
      <w:r w:rsidR="00D71DCE">
        <w:rPr>
          <w:lang w:val="en-US"/>
        </w:rPr>
        <w:t>R</w:t>
      </w:r>
      <w:r w:rsidRPr="00000CD2">
        <w:rPr>
          <w:lang w:val="en-US"/>
        </w:rPr>
        <w:t>ound as a pro</w:t>
      </w:r>
      <w:r w:rsidR="00000CD2" w:rsidRPr="00000CD2">
        <w:rPr>
          <w:lang w:val="en-US"/>
        </w:rPr>
        <w:t>-</w:t>
      </w:r>
      <w:r w:rsidRPr="00000CD2">
        <w:rPr>
          <w:lang w:val="en-US"/>
        </w:rPr>
        <w:t xml:space="preserve">competition measure. </w:t>
      </w:r>
    </w:p>
    <w:p w14:paraId="327AE53E" w14:textId="7141A2CC" w:rsidR="00F3249B" w:rsidRPr="00F3249B" w:rsidRDefault="00D71DCE" w:rsidP="00DD38E2">
      <w:pPr>
        <w:pStyle w:val="1"/>
      </w:pPr>
      <w:r>
        <w:t xml:space="preserve">After the </w:t>
      </w:r>
      <w:r w:rsidR="00F3249B" w:rsidRPr="00AC098B">
        <w:t xml:space="preserve">WOAN set-aside, 326 MHZ of spectrum </w:t>
      </w:r>
      <w:r w:rsidR="00822D35">
        <w:t>is</w:t>
      </w:r>
      <w:r w:rsidR="00F3249B" w:rsidRPr="00AC098B">
        <w:t xml:space="preserve"> available for award at the </w:t>
      </w:r>
      <w:r>
        <w:t xml:space="preserve">ITA </w:t>
      </w:r>
      <w:r w:rsidR="00F3249B" w:rsidRPr="00AC098B">
        <w:t xml:space="preserve">auction: 100 MHz of sub-1GHz and 226MHz of mid-band spectrum (2600 and 3500). </w:t>
      </w:r>
    </w:p>
    <w:p w14:paraId="5F761626" w14:textId="7E0F57ED" w:rsidR="00416FA0" w:rsidRDefault="00000CD2" w:rsidP="00DD38E2">
      <w:pPr>
        <w:pStyle w:val="1"/>
      </w:pPr>
      <w:r>
        <w:t>T</w:t>
      </w:r>
      <w:r w:rsidRPr="00AC098B">
        <w:t xml:space="preserve">he </w:t>
      </w:r>
      <w:r>
        <w:t>spectrum caps</w:t>
      </w:r>
      <w:r w:rsidR="00416FA0">
        <w:t xml:space="preserve"> constrain the bidding of Tier-1 operators in the following respects:</w:t>
      </w:r>
    </w:p>
    <w:p w14:paraId="0D6CE9FC" w14:textId="582DD1BC" w:rsidR="00416FA0" w:rsidRDefault="00416FA0" w:rsidP="00140C60">
      <w:pPr>
        <w:pStyle w:val="2"/>
      </w:pPr>
      <w:r>
        <w:t xml:space="preserve">Both MTN and Vodacom have an existing allocation of 22MHz in the </w:t>
      </w:r>
      <w:r w:rsidR="00D71DCE">
        <w:t>s</w:t>
      </w:r>
      <w:r>
        <w:t xml:space="preserve">ub-1GHz band.  The spectrum cap </w:t>
      </w:r>
      <w:r w:rsidR="00582E6D">
        <w:t xml:space="preserve">of 2 x 21MHz </w:t>
      </w:r>
      <w:r>
        <w:t xml:space="preserve">limits their bids to an additional 20MHz each.  A total of 40MHz in the </w:t>
      </w:r>
      <w:r w:rsidR="00D71DCE">
        <w:t>s</w:t>
      </w:r>
      <w:r>
        <w:t xml:space="preserve">ub-1GHz band </w:t>
      </w:r>
      <w:r w:rsidR="00D71DCE">
        <w:t xml:space="preserve">may be </w:t>
      </w:r>
      <w:r>
        <w:t xml:space="preserve">taken up by the Tier-1 operators. </w:t>
      </w:r>
    </w:p>
    <w:p w14:paraId="563FA36A" w14:textId="76D21D09" w:rsidR="00582E6D" w:rsidRDefault="00582E6D" w:rsidP="00140C60">
      <w:pPr>
        <w:pStyle w:val="2"/>
      </w:pPr>
      <w:r>
        <w:t xml:space="preserve">MTN has </w:t>
      </w:r>
      <w:r w:rsidR="00416FA0" w:rsidRPr="00847678">
        <w:t xml:space="preserve">an existing allocation </w:t>
      </w:r>
      <w:proofErr w:type="gramStart"/>
      <w:r w:rsidR="00416FA0" w:rsidRPr="00847678">
        <w:t>o</w:t>
      </w:r>
      <w:r w:rsidR="00D71DCE">
        <w:t xml:space="preserve">f </w:t>
      </w:r>
      <w:r>
        <w:t xml:space="preserve"> </w:t>
      </w:r>
      <w:r w:rsidR="00416FA0">
        <w:t>2</w:t>
      </w:r>
      <w:proofErr w:type="gramEnd"/>
      <w:r w:rsidR="00416FA0">
        <w:t xml:space="preserve">x12 in the 1800MHz, 2 x 15MHz </w:t>
      </w:r>
      <w:r>
        <w:t xml:space="preserve">and 10MHz </w:t>
      </w:r>
      <w:r w:rsidR="00416FA0">
        <w:t>in the 2100</w:t>
      </w:r>
      <w:r>
        <w:t xml:space="preserve"> spectrum band</w:t>
      </w:r>
      <w:r w:rsidR="00416FA0" w:rsidRPr="00847678">
        <w:t>.</w:t>
      </w:r>
      <w:r w:rsidR="00416FA0">
        <w:t xml:space="preserve">  This is a total of </w:t>
      </w:r>
      <w:r>
        <w:t>86</w:t>
      </w:r>
      <w:r w:rsidR="00416FA0" w:rsidRPr="00D543AD">
        <w:t>MHz</w:t>
      </w:r>
      <w:r>
        <w:t xml:space="preserve">.  </w:t>
      </w:r>
      <w:proofErr w:type="gramStart"/>
      <w:r>
        <w:t>Taking into account</w:t>
      </w:r>
      <w:proofErr w:type="gramEnd"/>
      <w:r>
        <w:t xml:space="preserve"> the 20MHz that may be assigned in the lower spectrum, this</w:t>
      </w:r>
      <w:r w:rsidR="00416FA0">
        <w:t xml:space="preserve"> means that </w:t>
      </w:r>
      <w:r>
        <w:t>MTN</w:t>
      </w:r>
      <w:r w:rsidR="00416FA0">
        <w:t xml:space="preserve"> may bid for an additional </w:t>
      </w:r>
      <w:r>
        <w:rPr>
          <w:b/>
          <w:bCs/>
        </w:rPr>
        <w:t>78</w:t>
      </w:r>
      <w:r w:rsidR="00416FA0" w:rsidRPr="00DD04B3">
        <w:rPr>
          <w:b/>
          <w:bCs/>
        </w:rPr>
        <w:t>MHz</w:t>
      </w:r>
      <w:r w:rsidR="00416FA0">
        <w:t xml:space="preserve"> </w:t>
      </w:r>
      <w:r>
        <w:t xml:space="preserve">before it reaches the spectrum cap of 184MHz. </w:t>
      </w:r>
      <w:r w:rsidR="009878D6">
        <w:t xml:space="preserve"> MTN has made an application to amend its licence number 00-495-603-1 in order to return 10MHz of spectrum in the 2100MHz frequency band.  Should the application be successful, MTN</w:t>
      </w:r>
      <w:r w:rsidR="003E34FC">
        <w:t xml:space="preserve">’s total spectrum holding will be </w:t>
      </w:r>
      <w:r w:rsidR="003E34FC">
        <w:lastRenderedPageBreak/>
        <w:t>reduced and it</w:t>
      </w:r>
      <w:r w:rsidR="009878D6">
        <w:t xml:space="preserve"> will </w:t>
      </w:r>
      <w:r w:rsidR="003E34FC">
        <w:t xml:space="preserve">be able to bid for a </w:t>
      </w:r>
      <w:r w:rsidR="003D2C3E">
        <w:t>further</w:t>
      </w:r>
      <w:r w:rsidR="009878D6">
        <w:t xml:space="preserve"> 10MHz </w:t>
      </w:r>
      <w:r w:rsidR="003E34FC">
        <w:t xml:space="preserve">before reaching the spectrum cap. </w:t>
      </w:r>
    </w:p>
    <w:p w14:paraId="0A447D8C" w14:textId="0B1CC895" w:rsidR="00582E6D" w:rsidRDefault="00582E6D" w:rsidP="00140C60">
      <w:pPr>
        <w:pStyle w:val="2"/>
      </w:pPr>
      <w:r>
        <w:t xml:space="preserve">Vodacom has </w:t>
      </w:r>
      <w:r w:rsidRPr="00847678">
        <w:t xml:space="preserve">an existing allocation </w:t>
      </w:r>
      <w:r w:rsidR="00D71DCE">
        <w:t xml:space="preserve">of </w:t>
      </w:r>
      <w:r>
        <w:t>2x12 in the 1800MHz, 2 x 15MHz and 5MHz in the 2100 spectrum band</w:t>
      </w:r>
      <w:r w:rsidRPr="00847678">
        <w:t>.</w:t>
      </w:r>
      <w:r>
        <w:t xml:space="preserve">  This is a total of 81</w:t>
      </w:r>
      <w:r w:rsidRPr="00D543AD">
        <w:t>MHz</w:t>
      </w:r>
      <w:r>
        <w:t xml:space="preserve">.  </w:t>
      </w:r>
      <w:proofErr w:type="gramStart"/>
      <w:r>
        <w:t>Taking into account</w:t>
      </w:r>
      <w:proofErr w:type="gramEnd"/>
      <w:r>
        <w:t xml:space="preserve"> the 20MHz that may be assigned in the lower spectrum, this means that Vodacom may bid for an additional </w:t>
      </w:r>
      <w:r w:rsidR="00F3249B">
        <w:rPr>
          <w:b/>
          <w:bCs/>
        </w:rPr>
        <w:t>83</w:t>
      </w:r>
      <w:r w:rsidRPr="00DD04B3">
        <w:rPr>
          <w:b/>
          <w:bCs/>
        </w:rPr>
        <w:t>MHz</w:t>
      </w:r>
      <w:r>
        <w:t xml:space="preserve"> before it reaches the spectrum cap of 184MHz</w:t>
      </w:r>
      <w:r w:rsidR="00D71DCE">
        <w:t>.</w:t>
      </w:r>
    </w:p>
    <w:p w14:paraId="49D9CCE2" w14:textId="4F8F7330" w:rsidR="00000CD2" w:rsidRDefault="00F547B6" w:rsidP="001951A1">
      <w:pPr>
        <w:pStyle w:val="1"/>
      </w:pPr>
      <w:r w:rsidRPr="00AC098B">
        <w:t>Assuming Vodacom and MTN both bid to the maximum sub-cap of 42 MHz in sub-1GHz (a 20MHz acquisition for each) and the 184 MHZ overall cap (an 83MHz and 78MHz spectrum acquisition respectively)</w:t>
      </w:r>
      <w:r w:rsidR="00D71DCE">
        <w:t xml:space="preserve">, </w:t>
      </w:r>
      <w:r w:rsidR="008025C9">
        <w:t>this</w:t>
      </w:r>
      <w:r w:rsidR="00D71DCE">
        <w:t xml:space="preserve"> means that </w:t>
      </w:r>
      <w:r w:rsidRPr="00AC098B">
        <w:t xml:space="preserve">60MHz of sub-1GHz and 65 MHz would be left for “non-Tier 1” operators in an open auction. </w:t>
      </w:r>
    </w:p>
    <w:p w14:paraId="1F6ADC51" w14:textId="69F861DC" w:rsidR="00F547B6" w:rsidRPr="00AC098B" w:rsidRDefault="00000CD2" w:rsidP="001951A1">
      <w:pPr>
        <w:pStyle w:val="1"/>
      </w:pPr>
      <w:r>
        <w:t xml:space="preserve">Even in this extreme scenario, </w:t>
      </w:r>
      <w:r w:rsidR="00F547B6" w:rsidRPr="00AC098B">
        <w:t xml:space="preserve">the spectrum left over for “non-Tier 1” </w:t>
      </w:r>
      <w:r w:rsidR="00D71DCE">
        <w:t xml:space="preserve">operators </w:t>
      </w:r>
      <w:r w:rsidR="00F547B6" w:rsidRPr="00AC098B">
        <w:t xml:space="preserve">allows many combinations </w:t>
      </w:r>
      <w:r w:rsidR="003D2C3E">
        <w:t xml:space="preserve">where bidders achieve spectrum </w:t>
      </w:r>
      <w:proofErr w:type="gramStart"/>
      <w:r w:rsidR="003D2C3E">
        <w:t>in excess of</w:t>
      </w:r>
      <w:proofErr w:type="gramEnd"/>
      <w:r w:rsidR="003D2C3E">
        <w:t xml:space="preserve"> the </w:t>
      </w:r>
      <w:r>
        <w:t>minimum spectrum portfolios</w:t>
      </w:r>
      <w:r w:rsidR="003D2C3E">
        <w:t xml:space="preserve">, and therefore securing five or more credible national wholesale operators.  </w:t>
      </w:r>
      <w:r w:rsidR="00D71DCE">
        <w:t xml:space="preserve">The possible </w:t>
      </w:r>
      <w:r w:rsidR="008025C9">
        <w:t>outcomes</w:t>
      </w:r>
      <w:r w:rsidR="00D71DCE">
        <w:t xml:space="preserve"> include the following:</w:t>
      </w:r>
    </w:p>
    <w:p w14:paraId="08873E01" w14:textId="78CF34AC" w:rsidR="001F197A" w:rsidRDefault="00F547B6">
      <w:pPr>
        <w:pStyle w:val="2"/>
      </w:pPr>
      <w:r w:rsidRPr="00AC098B">
        <w:t xml:space="preserve">Telkom </w:t>
      </w:r>
      <w:r w:rsidR="0099106C">
        <w:t>is awarded</w:t>
      </w:r>
      <w:r w:rsidR="0099106C" w:rsidRPr="00AC098B">
        <w:t xml:space="preserve"> </w:t>
      </w:r>
      <w:r w:rsidRPr="00AC098B">
        <w:t xml:space="preserve">30MHz sub-1GHz, Rain </w:t>
      </w:r>
      <w:r w:rsidR="0099106C">
        <w:t>is awarded</w:t>
      </w:r>
      <w:r w:rsidR="0099106C" w:rsidRPr="00AC098B">
        <w:t xml:space="preserve"> </w:t>
      </w:r>
      <w:r w:rsidRPr="00AC098B">
        <w:t xml:space="preserve">20MHz sub-1GHz, Liquid </w:t>
      </w:r>
      <w:r w:rsidR="0099106C">
        <w:t>is awarded</w:t>
      </w:r>
      <w:r w:rsidR="0099106C" w:rsidRPr="00AC098B">
        <w:t xml:space="preserve"> </w:t>
      </w:r>
      <w:r w:rsidRPr="00AC098B">
        <w:t xml:space="preserve">10MHz sub-1GHz, </w:t>
      </w:r>
      <w:r w:rsidR="00D71DCE">
        <w:t xml:space="preserve">and </w:t>
      </w:r>
      <w:r w:rsidRPr="00AC098B">
        <w:t xml:space="preserve">Cell C </w:t>
      </w:r>
      <w:r w:rsidR="0099106C">
        <w:t>is awarded</w:t>
      </w:r>
      <w:r w:rsidR="0099106C" w:rsidRPr="00AC098B">
        <w:t xml:space="preserve"> </w:t>
      </w:r>
      <w:r w:rsidRPr="00AC098B">
        <w:t>10MHz mid-band</w:t>
      </w:r>
      <w:r w:rsidR="001540CC">
        <w:t>.  This would mean that f</w:t>
      </w:r>
      <w:r w:rsidR="001F197A">
        <w:t>our</w:t>
      </w:r>
      <w:r w:rsidRPr="00AC098B">
        <w:t xml:space="preserve"> </w:t>
      </w:r>
      <w:r w:rsidR="001F197A">
        <w:t xml:space="preserve">operators achieve spectrum holdings that exceed the </w:t>
      </w:r>
      <w:r w:rsidR="00037480">
        <w:t>minimum spectrum floors</w:t>
      </w:r>
      <w:r w:rsidR="001F197A">
        <w:t xml:space="preserve"> set out in clause 6 of the ITA.  Seven credible national wholesalers</w:t>
      </w:r>
      <w:r w:rsidR="00D411A8">
        <w:t xml:space="preserve"> then</w:t>
      </w:r>
      <w:r w:rsidR="001F197A">
        <w:t xml:space="preserve"> emerge post-auction. </w:t>
      </w:r>
    </w:p>
    <w:p w14:paraId="59094A08" w14:textId="4024AA8A" w:rsidR="00F547B6" w:rsidRPr="00AC098B" w:rsidRDefault="00F547B6" w:rsidP="00140C60">
      <w:pPr>
        <w:pStyle w:val="2"/>
      </w:pPr>
      <w:r w:rsidRPr="00AC098B">
        <w:lastRenderedPageBreak/>
        <w:t xml:space="preserve">Telkom </w:t>
      </w:r>
      <w:r w:rsidR="0099106C">
        <w:t>is awarded</w:t>
      </w:r>
      <w:r w:rsidR="0099106C" w:rsidRPr="00AC098B">
        <w:t xml:space="preserve"> </w:t>
      </w:r>
      <w:r w:rsidRPr="00AC098B">
        <w:t xml:space="preserve">20MHz sub-1GHz, Liquid </w:t>
      </w:r>
      <w:r w:rsidR="0099106C">
        <w:t>is awarded</w:t>
      </w:r>
      <w:r w:rsidR="0099106C" w:rsidRPr="00AC098B">
        <w:t xml:space="preserve"> </w:t>
      </w:r>
      <w:r w:rsidRPr="00AC098B">
        <w:t xml:space="preserve">10 MHz sub-1GHz, a new entrant </w:t>
      </w:r>
      <w:r w:rsidR="0099106C">
        <w:t>is awarded</w:t>
      </w:r>
      <w:r w:rsidR="0099106C" w:rsidRPr="00AC098B">
        <w:t xml:space="preserve"> </w:t>
      </w:r>
      <w:r w:rsidRPr="00AC098B">
        <w:t>30MHz sub-1GHz+ 40MHz mid band</w:t>
      </w:r>
      <w:r w:rsidR="00D71DCE">
        <w:t xml:space="preserve">, and </w:t>
      </w:r>
      <w:r w:rsidRPr="00AC098B">
        <w:t xml:space="preserve">Cell C </w:t>
      </w:r>
      <w:r w:rsidR="0099106C">
        <w:t>is awarded</w:t>
      </w:r>
      <w:r w:rsidR="0099106C" w:rsidRPr="00AC098B">
        <w:t xml:space="preserve"> </w:t>
      </w:r>
      <w:r w:rsidRPr="00AC098B">
        <w:t>10MHz mid-band</w:t>
      </w:r>
      <w:r w:rsidR="001540CC">
        <w:t>.  This would mean that f</w:t>
      </w:r>
      <w:r w:rsidR="001F197A">
        <w:t>our</w:t>
      </w:r>
      <w:r w:rsidR="001F197A" w:rsidRPr="00AC098B">
        <w:t xml:space="preserve"> </w:t>
      </w:r>
      <w:r w:rsidR="001F197A">
        <w:t xml:space="preserve">operators achieve spectrum holdings that exceed the minimum spectrum floors set out in clause 6 of the ITA.  Seven credible national wholesalers </w:t>
      </w:r>
      <w:r w:rsidR="00A75026">
        <w:t xml:space="preserve">then </w:t>
      </w:r>
      <w:r w:rsidR="001F197A">
        <w:t>emerge post-auction</w:t>
      </w:r>
      <w:r w:rsidR="008025C9">
        <w:t>.</w:t>
      </w:r>
    </w:p>
    <w:p w14:paraId="546A0C91" w14:textId="1AB7A751" w:rsidR="00F547B6" w:rsidRPr="00AC098B" w:rsidRDefault="00F547B6" w:rsidP="00140C60">
      <w:pPr>
        <w:pStyle w:val="2"/>
      </w:pPr>
      <w:r w:rsidRPr="00AC098B">
        <w:t xml:space="preserve">Telkom </w:t>
      </w:r>
      <w:r w:rsidR="0099106C">
        <w:t>is awarded</w:t>
      </w:r>
      <w:r w:rsidR="0099106C" w:rsidRPr="00AC098B">
        <w:t xml:space="preserve"> </w:t>
      </w:r>
      <w:r w:rsidRPr="00AC098B">
        <w:t xml:space="preserve">20 MHz sub-1GHz, Rain </w:t>
      </w:r>
      <w:r w:rsidR="0099106C">
        <w:t>is awarded</w:t>
      </w:r>
      <w:r w:rsidR="0099106C" w:rsidRPr="00AC098B">
        <w:t xml:space="preserve"> </w:t>
      </w:r>
      <w:r w:rsidRPr="00AC098B">
        <w:t xml:space="preserve">20 MHz sub-1GHz, </w:t>
      </w:r>
      <w:r w:rsidR="00D71DCE">
        <w:t>and a</w:t>
      </w:r>
      <w:r w:rsidR="00D71DCE" w:rsidRPr="00AC098B">
        <w:t xml:space="preserve"> </w:t>
      </w:r>
      <w:r w:rsidRPr="00AC098B">
        <w:t xml:space="preserve">new entrant </w:t>
      </w:r>
      <w:r w:rsidR="0099106C">
        <w:t>is awarded</w:t>
      </w:r>
      <w:r w:rsidR="0099106C" w:rsidRPr="00AC098B">
        <w:t xml:space="preserve"> </w:t>
      </w:r>
      <w:r w:rsidRPr="00AC098B">
        <w:t>20Mhz sub-1GHz + 60MHz mid band</w:t>
      </w:r>
      <w:r w:rsidR="001540CC">
        <w:t>. This would mean that t</w:t>
      </w:r>
      <w:r w:rsidR="001F197A">
        <w:t>hree</w:t>
      </w:r>
      <w:r w:rsidR="001F197A" w:rsidRPr="00AC098B">
        <w:t xml:space="preserve"> </w:t>
      </w:r>
      <w:r w:rsidR="001F197A">
        <w:t>operators achieve spectrum holdings that exceed the minimum spectrum floors set out in clause 6 of the ITA.  Six credible national wholesalers</w:t>
      </w:r>
      <w:r w:rsidR="00A75026" w:rsidRPr="00A75026">
        <w:t xml:space="preserve"> </w:t>
      </w:r>
      <w:r w:rsidR="00A75026">
        <w:t>then</w:t>
      </w:r>
      <w:r w:rsidR="001F197A">
        <w:t xml:space="preserve"> emerge post-auction</w:t>
      </w:r>
      <w:r w:rsidR="008025C9">
        <w:t>.</w:t>
      </w:r>
    </w:p>
    <w:p w14:paraId="0370F397" w14:textId="5B447DEC" w:rsidR="00F547B6" w:rsidRPr="00AC098B" w:rsidRDefault="00F547B6" w:rsidP="00140C60">
      <w:pPr>
        <w:pStyle w:val="2"/>
      </w:pPr>
      <w:r w:rsidRPr="00AC098B">
        <w:t xml:space="preserve">Telkom </w:t>
      </w:r>
      <w:r w:rsidR="0099106C">
        <w:t>is awarded</w:t>
      </w:r>
      <w:r w:rsidR="0099106C" w:rsidRPr="00AC098B">
        <w:t xml:space="preserve"> </w:t>
      </w:r>
      <w:r w:rsidRPr="00AC098B">
        <w:t xml:space="preserve">30MHz sub-1GHz, Rain </w:t>
      </w:r>
      <w:r w:rsidR="0099106C">
        <w:t>is awarded</w:t>
      </w:r>
      <w:r w:rsidR="0099106C" w:rsidRPr="00AC098B">
        <w:t xml:space="preserve"> </w:t>
      </w:r>
      <w:r w:rsidRPr="00AC098B">
        <w:t xml:space="preserve">30 MHz sub-1GHz, </w:t>
      </w:r>
      <w:r w:rsidR="00D71DCE">
        <w:t xml:space="preserve">and </w:t>
      </w:r>
      <w:r w:rsidRPr="00AC098B">
        <w:t xml:space="preserve">Cell C </w:t>
      </w:r>
      <w:r w:rsidR="0099106C">
        <w:t>is awarded</w:t>
      </w:r>
      <w:r w:rsidR="0099106C" w:rsidRPr="00AC098B">
        <w:t xml:space="preserve"> </w:t>
      </w:r>
      <w:r w:rsidRPr="00AC098B">
        <w:t>10 MHz mid-band</w:t>
      </w:r>
      <w:r w:rsidR="001540CC">
        <w:t>.  This would mean that t</w:t>
      </w:r>
      <w:r w:rsidR="001F197A">
        <w:t>hree</w:t>
      </w:r>
      <w:r w:rsidR="001F197A" w:rsidRPr="00AC098B">
        <w:t xml:space="preserve"> </w:t>
      </w:r>
      <w:r w:rsidR="001F197A">
        <w:t xml:space="preserve">operators achieve spectrum holdings that exceed the minimum spectrum floors set out in clause 6 of the ITA.  Six credible national wholesalers </w:t>
      </w:r>
      <w:r w:rsidR="00A75026">
        <w:t xml:space="preserve">then </w:t>
      </w:r>
      <w:r w:rsidR="001F197A">
        <w:t>emerge post-auction.</w:t>
      </w:r>
    </w:p>
    <w:p w14:paraId="1F3DA453" w14:textId="2D7791CA" w:rsidR="00F547B6" w:rsidRPr="00AC098B" w:rsidRDefault="00F547B6" w:rsidP="00140C60">
      <w:pPr>
        <w:pStyle w:val="2"/>
      </w:pPr>
      <w:r w:rsidRPr="00AC098B">
        <w:t xml:space="preserve">Telkom or Rain </w:t>
      </w:r>
      <w:r w:rsidR="0099106C">
        <w:t>is awarded</w:t>
      </w:r>
      <w:r w:rsidR="0099106C" w:rsidRPr="00AC098B">
        <w:t xml:space="preserve"> </w:t>
      </w:r>
      <w:r w:rsidRPr="00AC098B">
        <w:t>30MHz,</w:t>
      </w:r>
      <w:r w:rsidR="00D71DCE">
        <w:t xml:space="preserve"> and</w:t>
      </w:r>
      <w:r w:rsidRPr="00AC098B">
        <w:t xml:space="preserve"> a new entrant </w:t>
      </w:r>
      <w:r w:rsidR="0099106C">
        <w:t>is awarded</w:t>
      </w:r>
      <w:r w:rsidR="0099106C" w:rsidRPr="00AC098B">
        <w:t xml:space="preserve"> </w:t>
      </w:r>
      <w:r w:rsidRPr="00AC098B">
        <w:t>30 MHz + 40MHz mid-band</w:t>
      </w:r>
      <w:r w:rsidR="001540CC">
        <w:t>.  This would mean that t</w:t>
      </w:r>
      <w:r w:rsidR="001F197A">
        <w:t>wo</w:t>
      </w:r>
      <w:r w:rsidR="001F197A" w:rsidRPr="00AC098B">
        <w:t xml:space="preserve"> </w:t>
      </w:r>
      <w:r w:rsidR="001F197A">
        <w:t xml:space="preserve">operators achieve spectrum holdings that exceed the minimum spectrum floors set out in clause 6 of the ITA.  Six credible national wholesalers </w:t>
      </w:r>
      <w:r w:rsidR="00A75026">
        <w:t xml:space="preserve">then </w:t>
      </w:r>
      <w:r w:rsidR="001F197A">
        <w:t>emerge post-auction.</w:t>
      </w:r>
    </w:p>
    <w:p w14:paraId="174DE67F" w14:textId="16895DB1" w:rsidR="00F547B6" w:rsidRPr="00AC098B" w:rsidRDefault="00F547B6" w:rsidP="00140C60">
      <w:pPr>
        <w:pStyle w:val="2"/>
      </w:pPr>
      <w:r w:rsidRPr="00AC098B">
        <w:t xml:space="preserve">Telkom or Rain </w:t>
      </w:r>
      <w:r w:rsidR="0099106C">
        <w:t>is awarded</w:t>
      </w:r>
      <w:r w:rsidR="0099106C" w:rsidRPr="00AC098B">
        <w:t xml:space="preserve"> </w:t>
      </w:r>
      <w:r w:rsidRPr="00AC098B">
        <w:t xml:space="preserve">40MHz sub-1GHz, </w:t>
      </w:r>
      <w:r w:rsidR="00D71DCE">
        <w:t xml:space="preserve">and </w:t>
      </w:r>
      <w:r w:rsidRPr="00AC098B">
        <w:t xml:space="preserve">a new entrant </w:t>
      </w:r>
      <w:r w:rsidR="0099106C">
        <w:t>is awarded</w:t>
      </w:r>
      <w:r w:rsidR="0099106C" w:rsidRPr="00AC098B">
        <w:t xml:space="preserve"> </w:t>
      </w:r>
      <w:r w:rsidRPr="00AC098B">
        <w:t>20MHz sub-1GHz + 60MHz mid band</w:t>
      </w:r>
      <w:r w:rsidR="001540CC">
        <w:t xml:space="preserve">.  This would </w:t>
      </w:r>
      <w:r w:rsidR="001540CC">
        <w:lastRenderedPageBreak/>
        <w:t>mean that t</w:t>
      </w:r>
      <w:r w:rsidR="001F197A">
        <w:t>wo</w:t>
      </w:r>
      <w:r w:rsidR="001F197A" w:rsidRPr="00AC098B">
        <w:t xml:space="preserve"> </w:t>
      </w:r>
      <w:r w:rsidR="001F197A">
        <w:t xml:space="preserve">operators achieve spectrum holdings that exceed the minimum spectrum floors set out in clause 6 of the ITA.  Five credible national wholesalers </w:t>
      </w:r>
      <w:r w:rsidR="00A75026">
        <w:t xml:space="preserve">then </w:t>
      </w:r>
      <w:r w:rsidR="001F197A">
        <w:t>emerge post-auction.</w:t>
      </w:r>
    </w:p>
    <w:p w14:paraId="02C97920" w14:textId="722BEB56" w:rsidR="00712792" w:rsidRPr="00AC098B" w:rsidRDefault="00F3249B" w:rsidP="001951A1">
      <w:pPr>
        <w:pStyle w:val="1"/>
      </w:pPr>
      <w:r>
        <w:t xml:space="preserve">The spectrum caps </w:t>
      </w:r>
      <w:r w:rsidRPr="00AC098B">
        <w:t>preclude Tier</w:t>
      </w:r>
      <w:r w:rsidR="00D71DCE">
        <w:t>-</w:t>
      </w:r>
      <w:r w:rsidRPr="00AC098B">
        <w:t xml:space="preserve">1 operators from bidding for two thirds of the sub-1GHz spectrum, 45% of the mid-band spectrum, and 50% of the overall award. </w:t>
      </w:r>
      <w:r>
        <w:t xml:space="preserve"> These interventions substantially achieve the objective </w:t>
      </w:r>
      <w:r w:rsidR="00D71DCE">
        <w:t xml:space="preserve">that is </w:t>
      </w:r>
      <w:r>
        <w:t xml:space="preserve">sought </w:t>
      </w:r>
      <w:r w:rsidR="00D71DCE">
        <w:t xml:space="preserve">to be achieved </w:t>
      </w:r>
      <w:r w:rsidR="005C4791">
        <w:t xml:space="preserve">by </w:t>
      </w:r>
      <w:r>
        <w:t>ICASA</w:t>
      </w:r>
      <w:r w:rsidR="00D71DCE">
        <w:t xml:space="preserve"> </w:t>
      </w:r>
      <w:proofErr w:type="gramStart"/>
      <w:r w:rsidR="00D71DCE">
        <w:t>by the use of</w:t>
      </w:r>
      <w:proofErr w:type="gramEnd"/>
      <w:r w:rsidR="00D71DCE">
        <w:t xml:space="preserve"> the Opt-In Scheme and spectrum </w:t>
      </w:r>
      <w:r>
        <w:t>floors.</w:t>
      </w:r>
      <w:r w:rsidR="00617D22">
        <w:t xml:space="preserve">  </w:t>
      </w:r>
      <w:r w:rsidR="00FD066B">
        <w:t xml:space="preserve">It demonstrates that there are </w:t>
      </w:r>
      <w:r w:rsidR="00712792">
        <w:t>available alternatives to achieve the desired objective without the potential risks highlighted above.</w:t>
      </w:r>
      <w:r>
        <w:t xml:space="preserve">  </w:t>
      </w:r>
    </w:p>
    <w:p w14:paraId="7FEA6A63" w14:textId="29A848D7" w:rsidR="00F547B6" w:rsidRPr="00712792" w:rsidRDefault="00F547B6" w:rsidP="001951A1">
      <w:pPr>
        <w:pStyle w:val="1"/>
      </w:pPr>
      <w:r w:rsidRPr="00712792">
        <w:t xml:space="preserve">As </w:t>
      </w:r>
      <w:r w:rsidR="00712792">
        <w:t xml:space="preserve">I have </w:t>
      </w:r>
      <w:r w:rsidR="00B96499">
        <w:t xml:space="preserve">already </w:t>
      </w:r>
      <w:r w:rsidR="00712792">
        <w:t xml:space="preserve">explained, the </w:t>
      </w:r>
      <w:r w:rsidRPr="00712792">
        <w:t xml:space="preserve">use of </w:t>
      </w:r>
      <w:r w:rsidR="00617D22">
        <w:t xml:space="preserve">spectrum </w:t>
      </w:r>
      <w:r w:rsidRPr="00712792">
        <w:t xml:space="preserve">floors and opt-in rounds is very rare and extremely complex. </w:t>
      </w:r>
      <w:r w:rsidR="00D512FF">
        <w:t xml:space="preserve"> </w:t>
      </w:r>
      <w:r w:rsidRPr="00712792">
        <w:t xml:space="preserve">A more standard way to achieve similar objectives </w:t>
      </w:r>
      <w:r w:rsidR="00700CEA">
        <w:t>would</w:t>
      </w:r>
      <w:r w:rsidR="00F128B5">
        <w:t xml:space="preserve"> involve the use of </w:t>
      </w:r>
      <w:r w:rsidRPr="00712792">
        <w:t xml:space="preserve">spectrum set-asides. </w:t>
      </w:r>
      <w:r w:rsidR="00D512FF">
        <w:t xml:space="preserve"> </w:t>
      </w:r>
      <w:r w:rsidR="00700CEA">
        <w:t>A</w:t>
      </w:r>
      <w:r w:rsidRPr="00712792">
        <w:t xml:space="preserve"> similar outcome to the one sought </w:t>
      </w:r>
      <w:r w:rsidR="00700CEA">
        <w:t xml:space="preserve">to be achieved </w:t>
      </w:r>
      <w:r w:rsidRPr="00712792">
        <w:t>by ICASA could be achieved by setting</w:t>
      </w:r>
      <w:r w:rsidR="00700CEA">
        <w:t xml:space="preserve"> </w:t>
      </w:r>
      <w:r w:rsidRPr="00712792">
        <w:t>aside two portfolios for competitive bidding (the pre-auction) prior to the main auction stage (the open auction) by two separate groups of operators, with only a single possible winner for each (and spectrum returned to the open auction in case of no bid):</w:t>
      </w:r>
    </w:p>
    <w:tbl>
      <w:tblPr>
        <w:tblStyle w:val="TableGrid"/>
        <w:tblW w:w="0" w:type="auto"/>
        <w:tblLook w:val="04A0" w:firstRow="1" w:lastRow="0" w:firstColumn="1" w:lastColumn="0" w:noHBand="0" w:noVBand="1"/>
      </w:tblPr>
      <w:tblGrid>
        <w:gridCol w:w="2263"/>
        <w:gridCol w:w="3119"/>
        <w:gridCol w:w="3628"/>
      </w:tblGrid>
      <w:tr w:rsidR="00F547B6" w:rsidRPr="00712792" w14:paraId="44CBAA21" w14:textId="77777777" w:rsidTr="00567DE3">
        <w:tc>
          <w:tcPr>
            <w:tcW w:w="2263" w:type="dxa"/>
          </w:tcPr>
          <w:p w14:paraId="5F0047D5" w14:textId="77777777" w:rsidR="00F547B6" w:rsidRPr="00712792" w:rsidRDefault="00F547B6" w:rsidP="005F3CAD">
            <w:pPr>
              <w:spacing w:before="120" w:after="120" w:line="240" w:lineRule="auto"/>
            </w:pPr>
          </w:p>
        </w:tc>
        <w:tc>
          <w:tcPr>
            <w:tcW w:w="3119" w:type="dxa"/>
          </w:tcPr>
          <w:p w14:paraId="28D09790" w14:textId="77777777" w:rsidR="00F547B6" w:rsidRPr="00712792" w:rsidRDefault="00F547B6" w:rsidP="005F3CAD">
            <w:pPr>
              <w:spacing w:before="120" w:after="120" w:line="240" w:lineRule="auto"/>
              <w:jc w:val="center"/>
              <w:rPr>
                <w:b/>
                <w:bCs/>
              </w:rPr>
            </w:pPr>
            <w:r w:rsidRPr="00712792">
              <w:rPr>
                <w:b/>
                <w:bCs/>
              </w:rPr>
              <w:t>Set aside 1</w:t>
            </w:r>
          </w:p>
        </w:tc>
        <w:tc>
          <w:tcPr>
            <w:tcW w:w="3628" w:type="dxa"/>
          </w:tcPr>
          <w:p w14:paraId="65533957" w14:textId="77777777" w:rsidR="00F547B6" w:rsidRPr="00712792" w:rsidRDefault="00F547B6" w:rsidP="005F3CAD">
            <w:pPr>
              <w:spacing w:before="120" w:after="120" w:line="240" w:lineRule="auto"/>
              <w:jc w:val="center"/>
              <w:rPr>
                <w:b/>
                <w:bCs/>
              </w:rPr>
            </w:pPr>
            <w:r w:rsidRPr="00712792">
              <w:rPr>
                <w:b/>
                <w:bCs/>
              </w:rPr>
              <w:t>Set aside 2</w:t>
            </w:r>
          </w:p>
        </w:tc>
      </w:tr>
      <w:tr w:rsidR="00F547B6" w:rsidRPr="00712792" w14:paraId="7B11F489" w14:textId="77777777" w:rsidTr="00567DE3">
        <w:tc>
          <w:tcPr>
            <w:tcW w:w="2263" w:type="dxa"/>
          </w:tcPr>
          <w:p w14:paraId="544A8090" w14:textId="77777777" w:rsidR="00F547B6" w:rsidRPr="00712792" w:rsidRDefault="00F547B6" w:rsidP="005F3CAD">
            <w:pPr>
              <w:spacing w:before="120" w:after="120" w:line="240" w:lineRule="auto"/>
              <w:rPr>
                <w:b/>
                <w:bCs/>
              </w:rPr>
            </w:pPr>
            <w:r w:rsidRPr="00712792">
              <w:rPr>
                <w:b/>
                <w:bCs/>
              </w:rPr>
              <w:t xml:space="preserve">Spectrum set-aside </w:t>
            </w:r>
          </w:p>
        </w:tc>
        <w:tc>
          <w:tcPr>
            <w:tcW w:w="3119" w:type="dxa"/>
          </w:tcPr>
          <w:p w14:paraId="49330694" w14:textId="77777777" w:rsidR="00F547B6" w:rsidRPr="00712792" w:rsidRDefault="00F547B6" w:rsidP="005F3CAD">
            <w:pPr>
              <w:spacing w:before="120" w:after="120" w:line="240" w:lineRule="auto"/>
              <w:jc w:val="center"/>
            </w:pPr>
          </w:p>
          <w:p w14:paraId="459035AE" w14:textId="77777777" w:rsidR="00F547B6" w:rsidRPr="00712792" w:rsidRDefault="00F547B6" w:rsidP="005F3CAD">
            <w:pPr>
              <w:spacing w:before="120" w:after="120" w:line="240" w:lineRule="auto"/>
              <w:jc w:val="center"/>
            </w:pPr>
            <w:r w:rsidRPr="00712792">
              <w:t>20 MHz sub 1GHz</w:t>
            </w:r>
          </w:p>
        </w:tc>
        <w:tc>
          <w:tcPr>
            <w:tcW w:w="3628" w:type="dxa"/>
          </w:tcPr>
          <w:p w14:paraId="48682CDA" w14:textId="77777777" w:rsidR="00F547B6" w:rsidRPr="00712792" w:rsidRDefault="00F547B6" w:rsidP="005F3CAD">
            <w:pPr>
              <w:spacing w:before="120" w:after="120" w:line="240" w:lineRule="auto"/>
              <w:jc w:val="center"/>
            </w:pPr>
            <w:r w:rsidRPr="00712792">
              <w:t>2.a 30 MHz sub 1GHz +</w:t>
            </w:r>
          </w:p>
          <w:p w14:paraId="5F8D7C76" w14:textId="77777777" w:rsidR="00F547B6" w:rsidRPr="00712792" w:rsidRDefault="00F547B6" w:rsidP="005F3CAD">
            <w:pPr>
              <w:spacing w:before="120" w:after="120" w:line="240" w:lineRule="auto"/>
              <w:jc w:val="center"/>
            </w:pPr>
            <w:r w:rsidRPr="00712792">
              <w:t>40MHz mid-band</w:t>
            </w:r>
          </w:p>
          <w:p w14:paraId="51ECAFD4" w14:textId="77777777" w:rsidR="00F547B6" w:rsidRPr="00712792" w:rsidRDefault="00F547B6" w:rsidP="005F3CAD">
            <w:pPr>
              <w:spacing w:before="120" w:after="120" w:line="240" w:lineRule="auto"/>
              <w:jc w:val="center"/>
            </w:pPr>
            <w:r w:rsidRPr="00712792">
              <w:t>or</w:t>
            </w:r>
          </w:p>
          <w:p w14:paraId="0022469D" w14:textId="77777777" w:rsidR="00F547B6" w:rsidRPr="00712792" w:rsidRDefault="00F547B6" w:rsidP="005F3CAD">
            <w:pPr>
              <w:spacing w:before="120" w:after="120" w:line="240" w:lineRule="auto"/>
              <w:jc w:val="center"/>
            </w:pPr>
            <w:r w:rsidRPr="00712792">
              <w:t xml:space="preserve">2.b 20 MHz sub 1GHz + </w:t>
            </w:r>
          </w:p>
          <w:p w14:paraId="3DFBAC68" w14:textId="77777777" w:rsidR="00F547B6" w:rsidRPr="00712792" w:rsidRDefault="00F547B6" w:rsidP="005F3CAD">
            <w:pPr>
              <w:spacing w:before="120" w:after="120" w:line="240" w:lineRule="auto"/>
              <w:jc w:val="center"/>
            </w:pPr>
            <w:r w:rsidRPr="00712792">
              <w:t>60MHz mid-band</w:t>
            </w:r>
          </w:p>
        </w:tc>
      </w:tr>
      <w:tr w:rsidR="00F547B6" w:rsidRPr="00712792" w14:paraId="776C321B" w14:textId="77777777" w:rsidTr="00567DE3">
        <w:tc>
          <w:tcPr>
            <w:tcW w:w="2263" w:type="dxa"/>
          </w:tcPr>
          <w:p w14:paraId="7ADF236D" w14:textId="77777777" w:rsidR="00F547B6" w:rsidRPr="00712792" w:rsidRDefault="00F547B6" w:rsidP="005F3CAD">
            <w:pPr>
              <w:spacing w:before="120" w:after="120" w:line="240" w:lineRule="auto"/>
              <w:rPr>
                <w:b/>
                <w:bCs/>
              </w:rPr>
            </w:pPr>
            <w:r w:rsidRPr="00712792">
              <w:rPr>
                <w:b/>
                <w:bCs/>
              </w:rPr>
              <w:t>Qualifying bidders</w:t>
            </w:r>
          </w:p>
        </w:tc>
        <w:tc>
          <w:tcPr>
            <w:tcW w:w="3119" w:type="dxa"/>
          </w:tcPr>
          <w:p w14:paraId="5D5F0FF2" w14:textId="77777777" w:rsidR="00F547B6" w:rsidRPr="00712792" w:rsidRDefault="00F547B6" w:rsidP="005F3CAD">
            <w:pPr>
              <w:spacing w:before="120" w:after="120" w:line="240" w:lineRule="auto"/>
              <w:jc w:val="center"/>
            </w:pPr>
            <w:r w:rsidRPr="00712792">
              <w:t xml:space="preserve">Tier 2 operators </w:t>
            </w:r>
          </w:p>
        </w:tc>
        <w:tc>
          <w:tcPr>
            <w:tcW w:w="3628" w:type="dxa"/>
          </w:tcPr>
          <w:p w14:paraId="22F3A0CA" w14:textId="77777777" w:rsidR="00F547B6" w:rsidRPr="00712792" w:rsidRDefault="00F547B6" w:rsidP="005F3CAD">
            <w:pPr>
              <w:spacing w:before="120" w:after="120" w:line="240" w:lineRule="auto"/>
              <w:jc w:val="center"/>
            </w:pPr>
            <w:r w:rsidRPr="00712792">
              <w:t>New entrants</w:t>
            </w:r>
          </w:p>
        </w:tc>
      </w:tr>
      <w:tr w:rsidR="00F547B6" w:rsidRPr="00712792" w14:paraId="6F170BB2" w14:textId="77777777" w:rsidTr="00567DE3">
        <w:tc>
          <w:tcPr>
            <w:tcW w:w="2263" w:type="dxa"/>
          </w:tcPr>
          <w:p w14:paraId="0CCB3604" w14:textId="77777777" w:rsidR="00F547B6" w:rsidRPr="00712792" w:rsidRDefault="00F547B6" w:rsidP="005F3CAD">
            <w:pPr>
              <w:spacing w:before="120" w:after="120" w:line="240" w:lineRule="auto"/>
              <w:rPr>
                <w:b/>
                <w:bCs/>
              </w:rPr>
            </w:pPr>
            <w:r w:rsidRPr="00712792">
              <w:rPr>
                <w:b/>
                <w:bCs/>
              </w:rPr>
              <w:lastRenderedPageBreak/>
              <w:t>Outcome</w:t>
            </w:r>
          </w:p>
        </w:tc>
        <w:tc>
          <w:tcPr>
            <w:tcW w:w="3119" w:type="dxa"/>
          </w:tcPr>
          <w:p w14:paraId="6AE3E2D6" w14:textId="77777777" w:rsidR="00F547B6" w:rsidRPr="00712792" w:rsidRDefault="00F547B6" w:rsidP="005F3CAD">
            <w:pPr>
              <w:spacing w:before="120" w:after="120" w:line="240" w:lineRule="auto"/>
              <w:jc w:val="center"/>
            </w:pPr>
            <w:r w:rsidRPr="00712792">
              <w:t xml:space="preserve">Any winner achieves PF1 </w:t>
            </w:r>
          </w:p>
        </w:tc>
        <w:tc>
          <w:tcPr>
            <w:tcW w:w="3628" w:type="dxa"/>
          </w:tcPr>
          <w:p w14:paraId="43820C1A" w14:textId="77777777" w:rsidR="00F547B6" w:rsidRPr="00712792" w:rsidRDefault="00F547B6" w:rsidP="005F3CAD">
            <w:pPr>
              <w:spacing w:before="120" w:after="120" w:line="240" w:lineRule="auto"/>
              <w:jc w:val="center"/>
            </w:pPr>
            <w:r w:rsidRPr="00712792">
              <w:t>Any winner achieves PF1 or 2</w:t>
            </w:r>
          </w:p>
        </w:tc>
      </w:tr>
    </w:tbl>
    <w:p w14:paraId="6228AC17" w14:textId="77777777" w:rsidR="00F547B6" w:rsidRPr="00712792" w:rsidRDefault="00F547B6" w:rsidP="00F547B6"/>
    <w:p w14:paraId="4A216197" w14:textId="040B48CE" w:rsidR="00F547B6" w:rsidRPr="00712792" w:rsidRDefault="00F547B6" w:rsidP="001951A1">
      <w:pPr>
        <w:pStyle w:val="1"/>
      </w:pPr>
      <w:r w:rsidRPr="00712792">
        <w:t xml:space="preserve">The winner in each set aside would be the highest monetary bid in each group. </w:t>
      </w:r>
      <w:r w:rsidR="00700CEA">
        <w:t>W</w:t>
      </w:r>
      <w:r w:rsidRPr="00712792">
        <w:t xml:space="preserve">inners of the set-aside spectrum can complement their already “MSP-compliant” portfolios with additional spectrum in the open auction, some of which will remain shielded from Tier 1 operators through </w:t>
      </w:r>
      <w:r w:rsidR="000D538E">
        <w:t>the spectrum caps.</w:t>
      </w:r>
    </w:p>
    <w:p w14:paraId="598F2810" w14:textId="2EDBFEF5" w:rsidR="00F547B6" w:rsidRPr="005F3CAD" w:rsidRDefault="00F547B6" w:rsidP="001951A1">
      <w:pPr>
        <w:pStyle w:val="1"/>
      </w:pPr>
      <w:r w:rsidRPr="00712792">
        <w:t xml:space="preserve">A </w:t>
      </w:r>
      <w:r w:rsidR="00700CEA">
        <w:t xml:space="preserve">mechanism such as this would achieve the same outcome as the Opt-In Scheme and </w:t>
      </w:r>
      <w:r w:rsidR="00874A26">
        <w:t xml:space="preserve">spectrum </w:t>
      </w:r>
      <w:r w:rsidRPr="00712792">
        <w:t>floor</w:t>
      </w:r>
      <w:r w:rsidR="00874A26">
        <w:t>s</w:t>
      </w:r>
      <w:r w:rsidRPr="00712792">
        <w:t>, without any of the technical complexities and uncertainties</w:t>
      </w:r>
      <w:r w:rsidR="00FD066B">
        <w:t xml:space="preserve"> that I have highlighted above.</w:t>
      </w:r>
    </w:p>
    <w:p w14:paraId="5B293DD7" w14:textId="11D8CDBF" w:rsidR="009A38B3" w:rsidRPr="002D77B3" w:rsidRDefault="009A38B3">
      <w:pPr>
        <w:pStyle w:val="Heading2"/>
      </w:pPr>
      <w:bookmarkStart w:id="24" w:name="_Toc62222159"/>
      <w:r>
        <w:t>Summation</w:t>
      </w:r>
      <w:bookmarkEnd w:id="24"/>
    </w:p>
    <w:p w14:paraId="2163E123" w14:textId="20B5D4F2" w:rsidR="00B32E1D" w:rsidRPr="0058586B" w:rsidRDefault="00B32E1D" w:rsidP="001951A1">
      <w:pPr>
        <w:pStyle w:val="1"/>
        <w:rPr>
          <w:lang w:val="en-US"/>
        </w:rPr>
      </w:pPr>
      <w:r>
        <w:rPr>
          <w:lang w:val="en-US"/>
        </w:rPr>
        <w:t xml:space="preserve">For all the reasons set out above, I submit that the ICASA’s decision to </w:t>
      </w:r>
      <w:r>
        <w:t>include the Opt-In Scheme in the ITA should be reviewed and set aside on the basis that:</w:t>
      </w:r>
    </w:p>
    <w:p w14:paraId="0FC0B471" w14:textId="788461F9" w:rsidR="00B32E1D" w:rsidRDefault="00B32E1D" w:rsidP="001951A1">
      <w:pPr>
        <w:pStyle w:val="2"/>
        <w:rPr>
          <w:lang w:val="en-US"/>
        </w:rPr>
      </w:pPr>
      <w:r>
        <w:rPr>
          <w:lang w:val="en-US"/>
        </w:rPr>
        <w:t xml:space="preserve">The description of the Opt-In Scheme </w:t>
      </w:r>
      <w:r w:rsidR="00FD066B">
        <w:rPr>
          <w:lang w:val="en-US"/>
        </w:rPr>
        <w:t xml:space="preserve">in the ITA is </w:t>
      </w:r>
      <w:r>
        <w:rPr>
          <w:lang w:val="en-US"/>
        </w:rPr>
        <w:t>void for vagueness;</w:t>
      </w:r>
    </w:p>
    <w:p w14:paraId="6ED70A6C" w14:textId="3846E053" w:rsidR="00B32E1D" w:rsidRPr="0058586B" w:rsidRDefault="00B32E1D" w:rsidP="00140C60">
      <w:pPr>
        <w:pStyle w:val="2"/>
      </w:pPr>
      <w:r>
        <w:rPr>
          <w:lang w:val="en-US"/>
        </w:rPr>
        <w:t xml:space="preserve">The Opt-In Scheme is arbitrary, within the meaning of section 6(2)(e)(i) of PAJA </w:t>
      </w:r>
      <w:r w:rsidRPr="00E344B9">
        <w:rPr>
          <w:i/>
        </w:rPr>
        <w:t>alternatively</w:t>
      </w:r>
      <w:r w:rsidRPr="0058586B">
        <w:t xml:space="preserve"> within the meaning of the doctrine of legality;</w:t>
      </w:r>
    </w:p>
    <w:p w14:paraId="4AB7B3FD" w14:textId="38082788" w:rsidR="00B32E1D" w:rsidRPr="0058586B" w:rsidRDefault="00B32E1D" w:rsidP="00140C60">
      <w:pPr>
        <w:pStyle w:val="2"/>
      </w:pPr>
      <w:r w:rsidRPr="0058586B">
        <w:t xml:space="preserve">The </w:t>
      </w:r>
      <w:r>
        <w:rPr>
          <w:lang w:val="en-US"/>
        </w:rPr>
        <w:t xml:space="preserve">Opt-In Scheme </w:t>
      </w:r>
      <w:r w:rsidRPr="0058586B">
        <w:t xml:space="preserve">is irrational, within the meaning of section 6(2)(f)(ii) of PAJA </w:t>
      </w:r>
      <w:r w:rsidRPr="00E344B9">
        <w:rPr>
          <w:i/>
        </w:rPr>
        <w:t>alternatively</w:t>
      </w:r>
      <w:r w:rsidRPr="0058586B">
        <w:t xml:space="preserve"> within the meaning of the doctrine of legality;</w:t>
      </w:r>
    </w:p>
    <w:p w14:paraId="0480DA57" w14:textId="08E5DC2A" w:rsidR="00B32E1D" w:rsidRPr="0058586B" w:rsidRDefault="00B32E1D" w:rsidP="00140C60">
      <w:pPr>
        <w:pStyle w:val="2"/>
      </w:pPr>
      <w:r w:rsidRPr="0058586B">
        <w:lastRenderedPageBreak/>
        <w:t xml:space="preserve">The </w:t>
      </w:r>
      <w:r>
        <w:rPr>
          <w:lang w:val="en-US"/>
        </w:rPr>
        <w:t xml:space="preserve">Opt-In Scheme </w:t>
      </w:r>
      <w:r w:rsidRPr="0058586B">
        <w:t xml:space="preserve">fails to have regard to relevant considerations and has regard to irrelevant considerations, within the meaning of section 6(2)(e)(iii) of PAJA </w:t>
      </w:r>
      <w:r w:rsidRPr="00E344B9">
        <w:rPr>
          <w:i/>
        </w:rPr>
        <w:t>alternatively</w:t>
      </w:r>
      <w:r w:rsidRPr="0058586B">
        <w:t xml:space="preserve"> within the meaning of the doctrine of legality;</w:t>
      </w:r>
    </w:p>
    <w:p w14:paraId="5E44DE85" w14:textId="14965794" w:rsidR="00B32E1D" w:rsidRPr="0058586B" w:rsidRDefault="00B32E1D" w:rsidP="00140C60">
      <w:pPr>
        <w:pStyle w:val="2"/>
      </w:pPr>
      <w:r w:rsidRPr="0058586B">
        <w:t xml:space="preserve">The </w:t>
      </w:r>
      <w:r>
        <w:rPr>
          <w:lang w:val="en-US"/>
        </w:rPr>
        <w:t xml:space="preserve">Opt-In Scheme </w:t>
      </w:r>
      <w:r w:rsidRPr="0058586B">
        <w:t xml:space="preserve">is unreasonable, within the meaning of section 6(2)(h) of PAJA </w:t>
      </w:r>
      <w:r w:rsidRPr="00E344B9">
        <w:rPr>
          <w:i/>
        </w:rPr>
        <w:t>alternatively</w:t>
      </w:r>
      <w:r w:rsidRPr="0058586B">
        <w:t xml:space="preserve"> within the meaning of the doctrine of legality;</w:t>
      </w:r>
    </w:p>
    <w:p w14:paraId="131986E3" w14:textId="12E081F1" w:rsidR="00B32E1D" w:rsidRDefault="00B32E1D" w:rsidP="00140C60">
      <w:pPr>
        <w:pStyle w:val="2"/>
        <w:rPr>
          <w:lang w:val="en-US"/>
        </w:rPr>
      </w:pPr>
      <w:r w:rsidRPr="0058586B">
        <w:t xml:space="preserve">The </w:t>
      </w:r>
      <w:r>
        <w:rPr>
          <w:lang w:val="en-US"/>
        </w:rPr>
        <w:t>Opt-In Scheme is otherwise unconstitutional or unlawful, within the meaning of section 6(2)(i) of PAJA.</w:t>
      </w:r>
    </w:p>
    <w:p w14:paraId="66C13408" w14:textId="2F5BD542" w:rsidR="00D2154B" w:rsidRPr="004B378D" w:rsidRDefault="000B49F1">
      <w:pPr>
        <w:pStyle w:val="Heading1"/>
      </w:pPr>
      <w:bookmarkStart w:id="25" w:name="_Toc62222160"/>
      <w:r>
        <w:t>REMEDY</w:t>
      </w:r>
      <w:bookmarkEnd w:id="25"/>
    </w:p>
    <w:p w14:paraId="1CF60FFE" w14:textId="01D1B5E2" w:rsidR="00D2154B" w:rsidRPr="00E344B9" w:rsidRDefault="00DE2D81" w:rsidP="001951A1">
      <w:pPr>
        <w:pStyle w:val="1"/>
      </w:pPr>
      <w:r>
        <w:rPr>
          <w:lang w:val="en-ZA" w:eastAsia="en-GB"/>
        </w:rPr>
        <w:t xml:space="preserve">For the reasons given above, I submit that ICASA’s decision to </w:t>
      </w:r>
      <w:r w:rsidR="008025C9">
        <w:rPr>
          <w:lang w:val="en-ZA" w:eastAsia="en-GB"/>
        </w:rPr>
        <w:t xml:space="preserve">include </w:t>
      </w:r>
      <w:r>
        <w:rPr>
          <w:lang w:val="en-ZA" w:eastAsia="en-GB"/>
        </w:rPr>
        <w:t xml:space="preserve">the Operator Categorisation and the Opt-In Scheme </w:t>
      </w:r>
      <w:r w:rsidR="00A75026">
        <w:rPr>
          <w:lang w:val="en-ZA" w:eastAsia="en-GB"/>
        </w:rPr>
        <w:t xml:space="preserve">as part of the ITA </w:t>
      </w:r>
      <w:r>
        <w:rPr>
          <w:lang w:val="en-ZA" w:eastAsia="en-GB"/>
        </w:rPr>
        <w:t>should be declared unlawful and should be reviewed and set aside.  That is the relief sought in prayer 2 of the notice of motion.</w:t>
      </w:r>
    </w:p>
    <w:p w14:paraId="0A255995" w14:textId="77777777" w:rsidR="00D808A9" w:rsidRPr="00E344B9" w:rsidRDefault="00DE2D81" w:rsidP="001951A1">
      <w:pPr>
        <w:pStyle w:val="1"/>
      </w:pPr>
      <w:r w:rsidRPr="00D808A9">
        <w:rPr>
          <w:lang w:val="en-ZA" w:eastAsia="en-GB"/>
        </w:rPr>
        <w:t xml:space="preserve">The provisions of the ITA that give effect to Operator Categorisation are the definitions of “Tier-1 operator” and “Tier-2 operator”.  The provisions of the ITA that give effect to the Opt-In Scheme are paragraphs 6 and 17.2.  </w:t>
      </w:r>
      <w:proofErr w:type="gramStart"/>
      <w:r w:rsidRPr="00D808A9">
        <w:rPr>
          <w:lang w:val="en-ZA" w:eastAsia="en-GB"/>
        </w:rPr>
        <w:t>All of</w:t>
      </w:r>
      <w:proofErr w:type="gramEnd"/>
      <w:r w:rsidRPr="00D808A9">
        <w:rPr>
          <w:lang w:val="en-ZA" w:eastAsia="en-GB"/>
        </w:rPr>
        <w:t xml:space="preserve"> these provisions should be declared to be unlawful</w:t>
      </w:r>
      <w:r w:rsidR="00ED7A92" w:rsidRPr="00D808A9">
        <w:rPr>
          <w:lang w:val="en-ZA" w:eastAsia="en-GB"/>
        </w:rPr>
        <w:t xml:space="preserve"> and </w:t>
      </w:r>
      <w:r w:rsidR="00D808A9" w:rsidRPr="00D808A9">
        <w:rPr>
          <w:lang w:val="en-ZA" w:eastAsia="en-GB"/>
        </w:rPr>
        <w:t xml:space="preserve">should be </w:t>
      </w:r>
      <w:r w:rsidR="00ED7A92" w:rsidRPr="00D808A9">
        <w:rPr>
          <w:lang w:val="en-ZA" w:eastAsia="en-GB"/>
        </w:rPr>
        <w:t xml:space="preserve">excised from the ITA. </w:t>
      </w:r>
      <w:r w:rsidRPr="00D808A9">
        <w:rPr>
          <w:lang w:val="en-ZA" w:eastAsia="en-GB"/>
        </w:rPr>
        <w:t xml:space="preserve"> That is the relief sought in prayer 3 of the notice of motion.</w:t>
      </w:r>
      <w:r w:rsidR="00D808A9" w:rsidRPr="00D808A9">
        <w:rPr>
          <w:lang w:val="en-ZA" w:eastAsia="en-GB"/>
        </w:rPr>
        <w:t xml:space="preserve">  </w:t>
      </w:r>
    </w:p>
    <w:p w14:paraId="1B4D110C" w14:textId="2063FF35" w:rsidR="00DE2D81" w:rsidRPr="00C717B5" w:rsidRDefault="00D808A9" w:rsidP="00DD38E2">
      <w:pPr>
        <w:pStyle w:val="1"/>
      </w:pPr>
      <w:r>
        <w:rPr>
          <w:lang w:val="en-ZA" w:eastAsia="en-GB"/>
        </w:rPr>
        <w:t>If</w:t>
      </w:r>
      <w:r w:rsidR="008E285C" w:rsidRPr="00D808A9">
        <w:rPr>
          <w:lang w:val="en-ZA" w:eastAsia="en-GB"/>
        </w:rPr>
        <w:t xml:space="preserve"> the relief sought by MTN were to be </w:t>
      </w:r>
      <w:r w:rsidR="00DE2D81" w:rsidRPr="00D808A9">
        <w:rPr>
          <w:lang w:val="en-ZA" w:eastAsia="en-GB"/>
        </w:rPr>
        <w:t xml:space="preserve">granted, the ITA </w:t>
      </w:r>
      <w:r w:rsidR="00A75026">
        <w:rPr>
          <w:lang w:val="en-ZA" w:eastAsia="en-GB"/>
        </w:rPr>
        <w:t xml:space="preserve">process </w:t>
      </w:r>
      <w:r w:rsidR="00DE2D81" w:rsidRPr="00D808A9">
        <w:rPr>
          <w:lang w:val="en-ZA" w:eastAsia="en-GB"/>
        </w:rPr>
        <w:t xml:space="preserve">could continue </w:t>
      </w:r>
      <w:r w:rsidR="00A75026">
        <w:rPr>
          <w:lang w:val="en-ZA" w:eastAsia="en-GB"/>
        </w:rPr>
        <w:t xml:space="preserve">but </w:t>
      </w:r>
      <w:r w:rsidR="00F128B5" w:rsidRPr="00D808A9">
        <w:rPr>
          <w:lang w:val="en-ZA" w:eastAsia="en-GB"/>
        </w:rPr>
        <w:t xml:space="preserve">without </w:t>
      </w:r>
      <w:r w:rsidR="00DE2D81" w:rsidRPr="00D808A9">
        <w:rPr>
          <w:lang w:val="en-ZA" w:eastAsia="en-GB"/>
        </w:rPr>
        <w:t>the Opt-In Roun</w:t>
      </w:r>
      <w:r w:rsidR="008E285C" w:rsidRPr="00D808A9">
        <w:rPr>
          <w:lang w:val="en-ZA" w:eastAsia="en-GB"/>
        </w:rPr>
        <w:t xml:space="preserve">d.  </w:t>
      </w:r>
    </w:p>
    <w:p w14:paraId="169A2754" w14:textId="38EC3050" w:rsidR="007B7B74" w:rsidRPr="004C7398" w:rsidRDefault="007B7B74">
      <w:pPr>
        <w:pStyle w:val="Heading1"/>
      </w:pPr>
      <w:bookmarkStart w:id="26" w:name="_Toc62222161"/>
      <w:r w:rsidRPr="004C7398">
        <w:lastRenderedPageBreak/>
        <w:t>URGENCY</w:t>
      </w:r>
      <w:bookmarkEnd w:id="26"/>
      <w:r w:rsidRPr="004C7398">
        <w:t xml:space="preserve"> </w:t>
      </w:r>
    </w:p>
    <w:p w14:paraId="32E379F0" w14:textId="2CB40DC8" w:rsidR="007B7B74" w:rsidRDefault="007B7B74" w:rsidP="001951A1">
      <w:pPr>
        <w:pStyle w:val="1"/>
      </w:pPr>
      <w:r w:rsidRPr="004C7398">
        <w:t xml:space="preserve">This application seeks to review and set aside </w:t>
      </w:r>
      <w:r w:rsidR="00281575">
        <w:t>ICASA’s decisions to include</w:t>
      </w:r>
      <w:r w:rsidR="001F5D5F">
        <w:t xml:space="preserve"> </w:t>
      </w:r>
      <w:r w:rsidR="00281575">
        <w:t xml:space="preserve">the Operator Categorisation and </w:t>
      </w:r>
      <w:r w:rsidR="001F5D5F">
        <w:t xml:space="preserve">the </w:t>
      </w:r>
      <w:r w:rsidR="00281575">
        <w:t>Opt-In Scheme</w:t>
      </w:r>
      <w:r w:rsidR="00B96499">
        <w:t xml:space="preserve"> in the ITA</w:t>
      </w:r>
      <w:r w:rsidR="00281575">
        <w:t xml:space="preserve">.  </w:t>
      </w:r>
      <w:proofErr w:type="gramStart"/>
      <w:r w:rsidR="00281575">
        <w:t>In order for</w:t>
      </w:r>
      <w:proofErr w:type="gramEnd"/>
      <w:r w:rsidR="00281575">
        <w:t xml:space="preserve"> MTN to obtain </w:t>
      </w:r>
      <w:r w:rsidR="00AD380B">
        <w:t xml:space="preserve">such </w:t>
      </w:r>
      <w:r w:rsidR="00281575">
        <w:t xml:space="preserve">relief, the matter </w:t>
      </w:r>
      <w:r w:rsidR="00B96499">
        <w:t xml:space="preserve">would have to be </w:t>
      </w:r>
      <w:r w:rsidR="001540CC">
        <w:t xml:space="preserve">determined </w:t>
      </w:r>
      <w:r w:rsidR="00281575">
        <w:t xml:space="preserve">before the Opt-In Auction round commences. </w:t>
      </w:r>
      <w:r w:rsidR="001F5D5F">
        <w:t xml:space="preserve"> The reasons for this are as follows:</w:t>
      </w:r>
    </w:p>
    <w:p w14:paraId="62D57ECC" w14:textId="397039C7" w:rsidR="001F5D5F" w:rsidRDefault="001F5D5F" w:rsidP="00140C60">
      <w:pPr>
        <w:pStyle w:val="2"/>
      </w:pPr>
      <w:r>
        <w:t>If the Op</w:t>
      </w:r>
      <w:r w:rsidR="00AD380B">
        <w:t>t</w:t>
      </w:r>
      <w:r>
        <w:t xml:space="preserve">-In Auction round were to be conducted, </w:t>
      </w:r>
      <w:r w:rsidR="00AD380B">
        <w:t>successful</w:t>
      </w:r>
      <w:r>
        <w:t xml:space="preserve"> bidders would be awarded spectrum </w:t>
      </w:r>
      <w:proofErr w:type="gramStart"/>
      <w:r>
        <w:t xml:space="preserve">in </w:t>
      </w:r>
      <w:r w:rsidR="00A75026">
        <w:t>the course of</w:t>
      </w:r>
      <w:proofErr w:type="gramEnd"/>
      <w:r w:rsidR="00A75026">
        <w:t xml:space="preserve"> </w:t>
      </w:r>
      <w:r>
        <w:t xml:space="preserve">that round.  They </w:t>
      </w:r>
      <w:r w:rsidR="00AD380B">
        <w:t xml:space="preserve">would </w:t>
      </w:r>
      <w:r>
        <w:t>be expected to pay</w:t>
      </w:r>
      <w:r w:rsidR="005170C4">
        <w:t xml:space="preserve"> substantial sums </w:t>
      </w:r>
      <w:r w:rsidR="00AD380B">
        <w:t xml:space="preserve">of money </w:t>
      </w:r>
      <w:r w:rsidR="005170C4">
        <w:t>(hundreds of millions of rand)</w:t>
      </w:r>
      <w:r>
        <w:t xml:space="preserve"> </w:t>
      </w:r>
      <w:r w:rsidR="00B96499">
        <w:t>with immediate effect</w:t>
      </w:r>
      <w:r w:rsidR="005170C4">
        <w:t>.</w:t>
      </w:r>
    </w:p>
    <w:p w14:paraId="266771E1" w14:textId="16A00097" w:rsidR="005170C4" w:rsidRDefault="005170C4" w:rsidP="00140C60">
      <w:pPr>
        <w:pStyle w:val="2"/>
      </w:pPr>
      <w:r>
        <w:t>Those bidders are likely to take immediate steps to use the</w:t>
      </w:r>
      <w:r w:rsidR="00D808A9">
        <w:t xml:space="preserve"> new</w:t>
      </w:r>
      <w:r>
        <w:t xml:space="preserve"> spectrum.  This means, for example, that they will purchase network equipment to use the spectrum and will begin installing equipment on site.</w:t>
      </w:r>
      <w:r w:rsidR="00B96499">
        <w:t xml:space="preserve"> </w:t>
      </w:r>
      <w:r w:rsidR="00970EA6">
        <w:t xml:space="preserve"> </w:t>
      </w:r>
      <w:r w:rsidR="00B96499">
        <w:t>This will involve the expenditure of massive amounts of money.</w:t>
      </w:r>
    </w:p>
    <w:p w14:paraId="68345532" w14:textId="43A23FCA" w:rsidR="005170C4" w:rsidRDefault="005170C4" w:rsidP="00140C60">
      <w:pPr>
        <w:pStyle w:val="2"/>
      </w:pPr>
      <w:r>
        <w:t xml:space="preserve">If </w:t>
      </w:r>
      <w:r w:rsidR="00AD380B">
        <w:t>MTN’s</w:t>
      </w:r>
      <w:r>
        <w:t xml:space="preserve"> application were to be heard after the Opt-In Round has </w:t>
      </w:r>
      <w:r w:rsidR="00B96499">
        <w:t xml:space="preserve">already </w:t>
      </w:r>
      <w:r>
        <w:t xml:space="preserve">been conducted, the successful bidders are likely to contend that no relief should be granted </w:t>
      </w:r>
      <w:r w:rsidR="00AD380B">
        <w:t xml:space="preserve">to MTN </w:t>
      </w:r>
      <w:r>
        <w:t xml:space="preserve">because of the prejudice they </w:t>
      </w:r>
      <w:r w:rsidR="00B96499">
        <w:t>would</w:t>
      </w:r>
      <w:r>
        <w:t xml:space="preserve"> suffer</w:t>
      </w:r>
      <w:r w:rsidR="00F128B5">
        <w:t xml:space="preserve"> if</w:t>
      </w:r>
      <w:r w:rsidR="00D808A9">
        <w:t xml:space="preserve"> the Opt-In Round were to be found unlawful</w:t>
      </w:r>
      <w:r w:rsidR="00B96499">
        <w:t xml:space="preserve">.  </w:t>
      </w:r>
      <w:r w:rsidR="00AD380B">
        <w:t>This makes it necessary for MTN’s application to be determined in advance of the commencement of the ITA auction.</w:t>
      </w:r>
    </w:p>
    <w:p w14:paraId="1E5E2E76" w14:textId="4EA1B87F" w:rsidR="00281575" w:rsidRPr="004F18C6" w:rsidRDefault="00281575" w:rsidP="001951A1">
      <w:pPr>
        <w:pStyle w:val="1"/>
      </w:pPr>
      <w:r w:rsidRPr="004C7398">
        <w:t xml:space="preserve">The timelines </w:t>
      </w:r>
      <w:r>
        <w:t xml:space="preserve">in the ITA </w:t>
      </w:r>
      <w:r w:rsidRPr="004C7398">
        <w:t xml:space="preserve">show that the first auction round is scheduled to take place </w:t>
      </w:r>
      <w:r>
        <w:t xml:space="preserve">on 23 March 2012 </w:t>
      </w:r>
      <w:r w:rsidR="005170C4">
        <w:t>(</w:t>
      </w:r>
      <w:r>
        <w:t xml:space="preserve">being </w:t>
      </w:r>
      <w:r w:rsidRPr="004C7398">
        <w:t xml:space="preserve">119 days from the date of publication of the </w:t>
      </w:r>
      <w:r w:rsidRPr="004C7398">
        <w:lastRenderedPageBreak/>
        <w:t>ITA</w:t>
      </w:r>
      <w:r w:rsidR="005170C4">
        <w:t>)</w:t>
      </w:r>
      <w:r w:rsidRPr="004C7398">
        <w:t>.</w:t>
      </w:r>
      <w:r w:rsidR="00635FAE">
        <w:t xml:space="preserve"> </w:t>
      </w:r>
      <w:r w:rsidRPr="004C7398">
        <w:t xml:space="preserve"> Attached hereto is an extract from the ITA reflecting the indicative timelines, marked annexure </w:t>
      </w:r>
      <w:r w:rsidR="002405E1">
        <w:rPr>
          <w:b/>
          <w:bCs/>
        </w:rPr>
        <w:t>MMM</w:t>
      </w:r>
      <w:r w:rsidR="00FA5456">
        <w:rPr>
          <w:b/>
          <w:bCs/>
        </w:rPr>
        <w:t>1</w:t>
      </w:r>
      <w:r w:rsidR="00140C60">
        <w:rPr>
          <w:b/>
          <w:bCs/>
        </w:rPr>
        <w:t>9</w:t>
      </w:r>
      <w:r w:rsidRPr="004C7398">
        <w:rPr>
          <w:b/>
          <w:bCs/>
        </w:rPr>
        <w:t>.</w:t>
      </w:r>
    </w:p>
    <w:p w14:paraId="0FD5DA58" w14:textId="62B70C6E" w:rsidR="00404811" w:rsidRDefault="005170C4" w:rsidP="001951A1">
      <w:pPr>
        <w:pStyle w:val="1"/>
      </w:pPr>
      <w:r>
        <w:t xml:space="preserve">If </w:t>
      </w:r>
      <w:r w:rsidR="00404811">
        <w:t xml:space="preserve">MTN </w:t>
      </w:r>
      <w:r>
        <w:t xml:space="preserve">were to seek </w:t>
      </w:r>
      <w:r w:rsidR="00404811" w:rsidRPr="003E7B09">
        <w:t xml:space="preserve">relief in the </w:t>
      </w:r>
      <w:r w:rsidR="00A75026">
        <w:t>ordinary</w:t>
      </w:r>
      <w:r w:rsidR="00A75026" w:rsidRPr="003E7B09">
        <w:t xml:space="preserve"> </w:t>
      </w:r>
      <w:r w:rsidR="00404811" w:rsidRPr="003E7B09">
        <w:t xml:space="preserve">course, </w:t>
      </w:r>
      <w:r w:rsidR="00404811">
        <w:t xml:space="preserve">the ITA auction will </w:t>
      </w:r>
      <w:r>
        <w:t xml:space="preserve">already have been concluded by the time </w:t>
      </w:r>
      <w:r w:rsidR="00AD380B">
        <w:t xml:space="preserve">that </w:t>
      </w:r>
      <w:r>
        <w:t>the matter is heard.</w:t>
      </w:r>
      <w:r w:rsidRPr="005170C4">
        <w:rPr>
          <w:rFonts w:eastAsiaTheme="minorHAnsi"/>
        </w:rPr>
        <w:t xml:space="preserve"> </w:t>
      </w:r>
      <w:r>
        <w:rPr>
          <w:rFonts w:eastAsiaTheme="minorHAnsi"/>
        </w:rPr>
        <w:t xml:space="preserve"> MTN could not be afforded substantial redress at a hearing in due course because by then the ITA auction would already have occurred.</w:t>
      </w:r>
    </w:p>
    <w:p w14:paraId="426E2079" w14:textId="1EDDA4CA" w:rsidR="00404811" w:rsidRPr="004C7398" w:rsidRDefault="005170C4" w:rsidP="00DD38E2">
      <w:pPr>
        <w:pStyle w:val="1"/>
      </w:pPr>
      <w:r>
        <w:t xml:space="preserve">For </w:t>
      </w:r>
      <w:proofErr w:type="gramStart"/>
      <w:r>
        <w:t>all of</w:t>
      </w:r>
      <w:proofErr w:type="gramEnd"/>
      <w:r>
        <w:t xml:space="preserve"> these reasons, MTN has set this matter down for hearing so that it can be argued and </w:t>
      </w:r>
      <w:r w:rsidR="00BD7181">
        <w:t xml:space="preserve">so that that </w:t>
      </w:r>
      <w:r>
        <w:t xml:space="preserve">judgment </w:t>
      </w:r>
      <w:r w:rsidR="00AD380B">
        <w:t xml:space="preserve">can be </w:t>
      </w:r>
      <w:r>
        <w:t xml:space="preserve">delivered before the </w:t>
      </w:r>
      <w:r w:rsidR="00404811" w:rsidRPr="004C7398">
        <w:t xml:space="preserve">Opt-In auction </w:t>
      </w:r>
      <w:r w:rsidR="00AD380B">
        <w:t xml:space="preserve">round that is </w:t>
      </w:r>
      <w:r w:rsidR="00404811" w:rsidRPr="004C7398">
        <w:t>scheduled to commence on 23 March 2021</w:t>
      </w:r>
      <w:r w:rsidR="00404811">
        <w:t>.</w:t>
      </w:r>
      <w:r w:rsidR="001540CC">
        <w:t xml:space="preserve">  In accordance with the Practice Directions of this Division, MTN intends to approach the Deputy Judge President in order to secure a special allocation </w:t>
      </w:r>
      <w:r w:rsidR="00A75026">
        <w:t xml:space="preserve">for the hearing of </w:t>
      </w:r>
      <w:r w:rsidR="001540CC">
        <w:t>the matter.</w:t>
      </w:r>
    </w:p>
    <w:p w14:paraId="67F33BB1" w14:textId="160D4572" w:rsidR="005170C4" w:rsidRDefault="00404811" w:rsidP="00DD38E2">
      <w:pPr>
        <w:pStyle w:val="1"/>
      </w:pPr>
      <w:r w:rsidRPr="004C7398">
        <w:t xml:space="preserve">MTN has </w:t>
      </w:r>
      <w:r w:rsidR="005170C4">
        <w:t xml:space="preserve">elected to proceed in terms of Rule 6 </w:t>
      </w:r>
      <w:r w:rsidRPr="004C7398">
        <w:t xml:space="preserve">in order to obviate the lengthy periods </w:t>
      </w:r>
      <w:r w:rsidR="00AD380B">
        <w:t xml:space="preserve">that would be </w:t>
      </w:r>
      <w:r w:rsidRPr="004C7398">
        <w:t xml:space="preserve">associated with </w:t>
      </w:r>
      <w:r w:rsidR="005170C4">
        <w:t>a</w:t>
      </w:r>
      <w:r w:rsidR="005170C4" w:rsidRPr="004C7398">
        <w:t xml:space="preserve"> </w:t>
      </w:r>
      <w:r w:rsidRPr="004C7398">
        <w:t xml:space="preserve">Rule 53 </w:t>
      </w:r>
      <w:r w:rsidR="00AD380B">
        <w:t>review</w:t>
      </w:r>
      <w:r w:rsidRPr="004C7398">
        <w:t xml:space="preserve">. </w:t>
      </w:r>
      <w:r w:rsidR="00580D69">
        <w:t xml:space="preserve"> </w:t>
      </w:r>
      <w:r w:rsidR="00A75026">
        <w:t xml:space="preserve">For the purposes of paragraph </w:t>
      </w:r>
      <w:r w:rsidR="002C4BEB">
        <w:t>2(3)(a) of the Administrative Review Rules, I record that ICASA has not furnished MTN with a record of proceedings in relation to the decisions that form the subject matter of this application.</w:t>
      </w:r>
    </w:p>
    <w:p w14:paraId="5B9BE715" w14:textId="162DE0B6" w:rsidR="00BD1C7C" w:rsidRDefault="00AD380B" w:rsidP="00DD38E2">
      <w:pPr>
        <w:pStyle w:val="1"/>
      </w:pPr>
      <w:r>
        <w:t xml:space="preserve">Some </w:t>
      </w:r>
      <w:r w:rsidR="00404811">
        <w:t>of the</w:t>
      </w:r>
      <w:r w:rsidR="00404811" w:rsidRPr="003E7B09">
        <w:t xml:space="preserve"> time periods provided </w:t>
      </w:r>
      <w:r w:rsidR="00D808A9">
        <w:t xml:space="preserve">for in Rule 6 </w:t>
      </w:r>
      <w:r w:rsidR="005170C4">
        <w:t xml:space="preserve">have had to </w:t>
      </w:r>
      <w:r w:rsidR="00BD1C7C">
        <w:t xml:space="preserve">be </w:t>
      </w:r>
      <w:r w:rsidR="00404811" w:rsidRPr="003E7B09">
        <w:t xml:space="preserve">shortened in order to have a hearing </w:t>
      </w:r>
      <w:r w:rsidR="00404811">
        <w:t xml:space="preserve">before the </w:t>
      </w:r>
      <w:r w:rsidR="00BD7181">
        <w:t xml:space="preserve">deadline of </w:t>
      </w:r>
      <w:r w:rsidR="00404811">
        <w:t>23 March 2021</w:t>
      </w:r>
      <w:r w:rsidR="005170C4">
        <w:t>.</w:t>
      </w:r>
      <w:r w:rsidR="00BD1C7C" w:rsidRPr="00BD1C7C">
        <w:t xml:space="preserve"> </w:t>
      </w:r>
      <w:r w:rsidR="00580D69">
        <w:t xml:space="preserve"> </w:t>
      </w:r>
      <w:r w:rsidR="00BD1C7C">
        <w:t xml:space="preserve">The respondents have been afforded slightly less than the ordinary time periods </w:t>
      </w:r>
      <w:r>
        <w:t xml:space="preserve">afforded to them </w:t>
      </w:r>
      <w:r w:rsidR="00BD1C7C">
        <w:t>by Rule 6 to give notice of intention to oppose and to file their answering affidavit.</w:t>
      </w:r>
    </w:p>
    <w:p w14:paraId="261E89B0" w14:textId="16C8E4B9" w:rsidR="00D6118D" w:rsidRDefault="00BD1C7C">
      <w:pPr>
        <w:pStyle w:val="1"/>
      </w:pPr>
      <w:r>
        <w:lastRenderedPageBreak/>
        <w:t xml:space="preserve"> </w:t>
      </w:r>
      <w:r w:rsidR="004C62D2">
        <w:t xml:space="preserve">I submit that MTN acted </w:t>
      </w:r>
      <w:r>
        <w:t xml:space="preserve">with due expedition in launching this </w:t>
      </w:r>
      <w:r w:rsidR="004C62D2">
        <w:t>application</w:t>
      </w:r>
      <w:r w:rsidR="001F5798">
        <w:t>.  The Reasons Document was only published on 4 December 2020.  MTN then engaged in further correspondence with ICASA</w:t>
      </w:r>
      <w:r w:rsidR="00BD7181">
        <w:t xml:space="preserve">.  However, </w:t>
      </w:r>
      <w:r w:rsidR="001F5798">
        <w:t xml:space="preserve">it was </w:t>
      </w:r>
      <w:r w:rsidR="00D6118D">
        <w:t xml:space="preserve">not apparent until early this year that ICASA was unwilling to provide further clarity on the Opt-In Scheme and </w:t>
      </w:r>
      <w:r w:rsidR="00D808A9">
        <w:t xml:space="preserve">the </w:t>
      </w:r>
      <w:r w:rsidR="00D6118D">
        <w:t>Operator Categorisation</w:t>
      </w:r>
      <w:r w:rsidR="007B7B74" w:rsidRPr="004C7398">
        <w:t xml:space="preserve">. </w:t>
      </w:r>
      <w:r w:rsidR="00D6118D">
        <w:t xml:space="preserve"> </w:t>
      </w:r>
      <w:r w:rsidR="00F128B5">
        <w:t>I have described the interactions above but reiterate the following by way of summary:</w:t>
      </w:r>
    </w:p>
    <w:p w14:paraId="54508A6B" w14:textId="3625FABC" w:rsidR="007B7B74" w:rsidRPr="004C7398" w:rsidRDefault="007B7B74" w:rsidP="00140C60">
      <w:pPr>
        <w:pStyle w:val="2"/>
      </w:pPr>
      <w:r w:rsidRPr="004C7398">
        <w:t>On 22 October 2020, MTN sent queries to ICASA seeking clarification and information regarding issues that were unclear or not sufficiently comprehensive in the ITA</w:t>
      </w:r>
      <w:proofErr w:type="gramStart"/>
      <w:r w:rsidRPr="004C7398">
        <w:t>, in particular, issues</w:t>
      </w:r>
      <w:proofErr w:type="gramEnd"/>
      <w:r w:rsidRPr="004C7398">
        <w:t xml:space="preserve"> pertaining to the Opt-In Scheme and its implications for MTN</w:t>
      </w:r>
      <w:r w:rsidR="00BD1C7C">
        <w:t>.</w:t>
      </w:r>
    </w:p>
    <w:p w14:paraId="30DB0BFB" w14:textId="147E38C9" w:rsidR="007B7B74" w:rsidRPr="004C7398" w:rsidRDefault="007B7B74" w:rsidP="00140C60">
      <w:pPr>
        <w:pStyle w:val="2"/>
      </w:pPr>
      <w:r w:rsidRPr="004C7398">
        <w:t>On 11 November 2020, ICASA published a responses document in which it responded to</w:t>
      </w:r>
      <w:r w:rsidR="00791631">
        <w:t xml:space="preserve"> </w:t>
      </w:r>
      <w:proofErr w:type="gramStart"/>
      <w:r w:rsidR="00791631">
        <w:t xml:space="preserve">some </w:t>
      </w:r>
      <w:r w:rsidRPr="004C7398">
        <w:t xml:space="preserve"> queries</w:t>
      </w:r>
      <w:proofErr w:type="gramEnd"/>
      <w:r w:rsidRPr="004C7398">
        <w:t xml:space="preserve"> raised by interested persons</w:t>
      </w:r>
      <w:r w:rsidR="00D808A9">
        <w:t>.</w:t>
      </w:r>
      <w:r w:rsidRPr="004C7398">
        <w:t>. Many of the responses were either cursory of deferred the explanation to a reasons document still to be published</w:t>
      </w:r>
      <w:r w:rsidR="00BD1C7C">
        <w:t>.</w:t>
      </w:r>
    </w:p>
    <w:p w14:paraId="5E675F3E" w14:textId="63015F2B" w:rsidR="007B7B74" w:rsidRPr="004C7398" w:rsidRDefault="007B7B74" w:rsidP="00140C60">
      <w:pPr>
        <w:pStyle w:val="2"/>
      </w:pPr>
      <w:r w:rsidRPr="004C7398">
        <w:t>On 25 November 2020, MTN sent ICASA follow</w:t>
      </w:r>
      <w:r w:rsidR="00BD1C7C">
        <w:t>-</w:t>
      </w:r>
      <w:r w:rsidRPr="004C7398">
        <w:t>up queries because many of its initial queries had not been answered or clarified</w:t>
      </w:r>
      <w:r w:rsidR="00BD1C7C">
        <w:t>.</w:t>
      </w:r>
    </w:p>
    <w:p w14:paraId="3EBDBD2B" w14:textId="46ACEC6E" w:rsidR="007B7B74" w:rsidRPr="004C7398" w:rsidRDefault="007B7B74" w:rsidP="00140C60">
      <w:pPr>
        <w:pStyle w:val="2"/>
      </w:pPr>
      <w:r w:rsidRPr="004C7398">
        <w:t>On 4 December 2020, ICASA published a reasons document in which it purported to give more detailed explanations in supplementation of the responses document it had published on 11 November 2020</w:t>
      </w:r>
      <w:r w:rsidR="00BD1C7C">
        <w:t>.</w:t>
      </w:r>
    </w:p>
    <w:p w14:paraId="100EE6D4" w14:textId="77777777" w:rsidR="007B7B74" w:rsidRPr="004C7398" w:rsidRDefault="007B7B74" w:rsidP="00140C60">
      <w:pPr>
        <w:pStyle w:val="2"/>
      </w:pPr>
      <w:r w:rsidRPr="004C7398">
        <w:t xml:space="preserve">On 11 December 2020, ICASA sent a letter to MTN indicating that it had answered all MTN queries in detail and that further </w:t>
      </w:r>
      <w:r w:rsidRPr="004C7398">
        <w:lastRenderedPageBreak/>
        <w:t>clarifications are contained in the reasons document of 4 December 2020.</w:t>
      </w:r>
    </w:p>
    <w:p w14:paraId="26B9FC14" w14:textId="69F28FB2" w:rsidR="007B7B74" w:rsidRPr="004C7398" w:rsidRDefault="007B7B74" w:rsidP="00140C60">
      <w:pPr>
        <w:pStyle w:val="2"/>
      </w:pPr>
      <w:r w:rsidRPr="004C7398">
        <w:t xml:space="preserve">On 18 December 2020, MTN sent a letter to ICASA detailing its concerns regarding the </w:t>
      </w:r>
      <w:r w:rsidR="00D808A9">
        <w:t xml:space="preserve">Operator Categorisation and the </w:t>
      </w:r>
      <w:r w:rsidRPr="004C7398">
        <w:t xml:space="preserve">Opt-In Scheme and demanding an undertaking from ICASA that the spectrum auction will be conducted without </w:t>
      </w:r>
      <w:r w:rsidR="00D808A9">
        <w:t>the Opt-In Scheme.</w:t>
      </w:r>
    </w:p>
    <w:p w14:paraId="4808536C" w14:textId="417345B5" w:rsidR="007B7B74" w:rsidRPr="004C7398" w:rsidRDefault="007B7B74" w:rsidP="00140C60">
      <w:pPr>
        <w:pStyle w:val="2"/>
      </w:pPr>
      <w:r w:rsidRPr="004C7398">
        <w:t xml:space="preserve">On 23 December 2020, ICASA’s attorneys Kunene </w:t>
      </w:r>
      <w:proofErr w:type="spellStart"/>
      <w:r w:rsidRPr="004C7398">
        <w:t>Ramapala</w:t>
      </w:r>
      <w:proofErr w:type="spellEnd"/>
      <w:r w:rsidR="0099654F">
        <w:t xml:space="preserve"> answered the</w:t>
      </w:r>
      <w:r w:rsidRPr="004C7398">
        <w:t xml:space="preserve"> 18 December 2020</w:t>
      </w:r>
      <w:r w:rsidR="0099654F">
        <w:t xml:space="preserve"> letter from MTN</w:t>
      </w:r>
      <w:r w:rsidRPr="004C7398">
        <w:t xml:space="preserve">. </w:t>
      </w:r>
      <w:r w:rsidR="00C467B7">
        <w:t xml:space="preserve"> </w:t>
      </w:r>
      <w:r w:rsidRPr="004C7398">
        <w:t>In its response, ICASA stated that MTN understood the Opt-In Schemes that the Schem</w:t>
      </w:r>
      <w:r w:rsidR="00D808A9">
        <w:t xml:space="preserve">e was </w:t>
      </w:r>
      <w:r w:rsidRPr="004C7398">
        <w:t xml:space="preserve">rational and lawful, and that </w:t>
      </w:r>
      <w:r w:rsidR="00D808A9">
        <w:t xml:space="preserve">it is </w:t>
      </w:r>
      <w:r w:rsidRPr="004C7398">
        <w:t>intended to encourage competition and avoid market concentration.</w:t>
      </w:r>
      <w:r w:rsidR="00D1702D">
        <w:t xml:space="preserve"> </w:t>
      </w:r>
      <w:r w:rsidRPr="004C7398">
        <w:t xml:space="preserve"> In paragraph 17 of the letter, ICASA closed the door to any further engagement on MTN’s concerns regarding the Opt-In Scheme.</w:t>
      </w:r>
    </w:p>
    <w:p w14:paraId="02752D01" w14:textId="77777777" w:rsidR="007B7B74" w:rsidRPr="004C7398" w:rsidRDefault="007B7B74" w:rsidP="00140C60">
      <w:pPr>
        <w:pStyle w:val="2"/>
      </w:pPr>
      <w:r w:rsidRPr="004C7398">
        <w:t xml:space="preserve">On 30 December 2020, MTN responded to the letter from ICASA’s attorneys pointing out that its queries regarding the Opt-In Scheme had not been clarified by any of the ICASA responses and reasons documents. MTN made a further point that the responses document had in fact created more confusion, especially in respect of </w:t>
      </w:r>
      <w:proofErr w:type="gramStart"/>
      <w:r w:rsidRPr="004C7398">
        <w:t>whether or not</w:t>
      </w:r>
      <w:proofErr w:type="gramEnd"/>
      <w:r w:rsidRPr="004C7398">
        <w:t xml:space="preserve"> the 3500MHz spectrum would form part of the Opt-In auction round.</w:t>
      </w:r>
    </w:p>
    <w:p w14:paraId="644C3FE0" w14:textId="1132051B" w:rsidR="007B7B74" w:rsidRDefault="007B7B74" w:rsidP="00140C60">
      <w:pPr>
        <w:pStyle w:val="2"/>
      </w:pPr>
      <w:r w:rsidRPr="004C7398">
        <w:t xml:space="preserve">On 5 January 2021, ICASA’s attorneys responded to the last MTN letter of 30 December 2020, essentially maintaining ICASA’s posture that sufficient clarity has been provided regarding the Opt-In Scheme and that the decision on which spectrum bands will form </w:t>
      </w:r>
      <w:r w:rsidRPr="004C7398">
        <w:lastRenderedPageBreak/>
        <w:t>part of the Opt-In auction round will only be made after the prequalification of bidders.</w:t>
      </w:r>
    </w:p>
    <w:p w14:paraId="09BAC968" w14:textId="6C08347C" w:rsidR="001E0B37" w:rsidRDefault="00AA049B" w:rsidP="001951A1">
      <w:pPr>
        <w:pStyle w:val="1"/>
      </w:pPr>
      <w:r>
        <w:t xml:space="preserve">It was at this point that </w:t>
      </w:r>
      <w:r w:rsidR="001540CC">
        <w:t xml:space="preserve">it became apparent to </w:t>
      </w:r>
      <w:r>
        <w:t>MTN that regardless of the serious deficiencies with the spectrum auction process, ICASA intended to proceed with the ITA process as planned, including the Opt-In Rounds commencing on 23 March 2021.</w:t>
      </w:r>
      <w:r w:rsidR="00D808A9">
        <w:t xml:space="preserve">  </w:t>
      </w:r>
      <w:r>
        <w:t xml:space="preserve">MTN accordingly met with its legal team (some of whom were still on leave) on 6 January 2021.  After the consultation, MTN instructed its legal team to commence the process of drafting the papers in a review application.  </w:t>
      </w:r>
      <w:r w:rsidR="00BD1C7C">
        <w:t xml:space="preserve"> </w:t>
      </w:r>
      <w:r w:rsidR="004631A3">
        <w:t xml:space="preserve">At the same time, MTN procured input from its external technical consultants as well as internal technical experts.  </w:t>
      </w:r>
    </w:p>
    <w:p w14:paraId="6B758FA8" w14:textId="519748D2" w:rsidR="00AA049B" w:rsidRDefault="00AA049B" w:rsidP="001951A1">
      <w:pPr>
        <w:pStyle w:val="1"/>
      </w:pPr>
      <w:r>
        <w:t xml:space="preserve">This application will be launched on </w:t>
      </w:r>
      <w:r w:rsidR="005D44EE">
        <w:t>Wednesday</w:t>
      </w:r>
      <w:r>
        <w:t>, 2</w:t>
      </w:r>
      <w:r w:rsidR="005D44EE">
        <w:t>7</w:t>
      </w:r>
      <w:r>
        <w:t xml:space="preserve"> January 2021 </w:t>
      </w:r>
      <w:r w:rsidR="00115C50">
        <w:t xml:space="preserve">-- </w:t>
      </w:r>
      <w:r>
        <w:t>approximately 1</w:t>
      </w:r>
      <w:r w:rsidR="005D44EE">
        <w:t>5</w:t>
      </w:r>
      <w:r>
        <w:t xml:space="preserve"> court days after </w:t>
      </w:r>
      <w:r w:rsidR="007B7B74" w:rsidRPr="004C7398">
        <w:t xml:space="preserve">it became clear that ICASA </w:t>
      </w:r>
      <w:r w:rsidR="00BD1C7C">
        <w:t>would</w:t>
      </w:r>
      <w:r w:rsidR="00BD1C7C" w:rsidRPr="004C7398">
        <w:t xml:space="preserve"> </w:t>
      </w:r>
      <w:r w:rsidR="007B7B74" w:rsidRPr="004C7398">
        <w:t>not accede to MTN’s requests</w:t>
      </w:r>
      <w:r w:rsidR="007B7B74">
        <w:t>.</w:t>
      </w:r>
      <w:r w:rsidR="007B7B74" w:rsidRPr="004C7398">
        <w:t xml:space="preserve"> </w:t>
      </w:r>
      <w:r w:rsidR="007B7B74">
        <w:t xml:space="preserve"> </w:t>
      </w:r>
    </w:p>
    <w:p w14:paraId="46C716B6" w14:textId="6DD36080" w:rsidR="00CF2E22" w:rsidRDefault="001C2B82" w:rsidP="001951A1">
      <w:pPr>
        <w:pStyle w:val="1"/>
      </w:pPr>
      <w:r>
        <w:t xml:space="preserve">In the circumstances, MTN humbly requests that this Court grant prayer </w:t>
      </w:r>
      <w:r w:rsidR="00BD1C7C">
        <w:t xml:space="preserve">1 </w:t>
      </w:r>
      <w:r>
        <w:t>of the notice of motion declaring that the matter be heard urgently, and that any truncation of time periods be condoned.</w:t>
      </w:r>
    </w:p>
    <w:p w14:paraId="2EDDD692" w14:textId="62E86F7F" w:rsidR="007B7B74" w:rsidRPr="004C7398" w:rsidRDefault="00094FA8">
      <w:pPr>
        <w:pStyle w:val="Heading1"/>
      </w:pPr>
      <w:bookmarkStart w:id="27" w:name="_Toc62222162"/>
      <w:r>
        <w:t>TELKOM’S APPLICATION</w:t>
      </w:r>
      <w:r w:rsidR="009A38B3">
        <w:t xml:space="preserve"> TO SET ASIDE THE ITA</w:t>
      </w:r>
      <w:bookmarkEnd w:id="27"/>
    </w:p>
    <w:p w14:paraId="673847EA" w14:textId="7E1164DE" w:rsidR="00653247" w:rsidRDefault="007B7B74" w:rsidP="001951A1">
      <w:pPr>
        <w:pStyle w:val="1"/>
      </w:pPr>
      <w:r w:rsidRPr="004C7398">
        <w:t xml:space="preserve">On 22 December 2020, </w:t>
      </w:r>
      <w:r w:rsidR="006833B4">
        <w:t>Telkom</w:t>
      </w:r>
      <w:r w:rsidRPr="004C7398">
        <w:t xml:space="preserve"> launched an application </w:t>
      </w:r>
      <w:r w:rsidR="00653247">
        <w:t xml:space="preserve">seeking relief in relation to the ITA in </w:t>
      </w:r>
      <w:r w:rsidRPr="004C7398">
        <w:t>three parts</w:t>
      </w:r>
      <w:r w:rsidR="00D808A9">
        <w:t xml:space="preserve"> (“</w:t>
      </w:r>
      <w:r w:rsidR="00D808A9" w:rsidRPr="00E344B9">
        <w:rPr>
          <w:b/>
          <w:bCs/>
        </w:rPr>
        <w:t>Telkom’s application</w:t>
      </w:r>
      <w:r w:rsidR="00D808A9">
        <w:t>”):</w:t>
      </w:r>
    </w:p>
    <w:p w14:paraId="0F7D5D62" w14:textId="12FBDA87" w:rsidR="007B7B74" w:rsidRPr="004C7398" w:rsidRDefault="007B7B74" w:rsidP="00140C60">
      <w:pPr>
        <w:pStyle w:val="2"/>
      </w:pPr>
      <w:r w:rsidRPr="004C7398">
        <w:t xml:space="preserve"> Part A</w:t>
      </w:r>
      <w:r w:rsidRPr="00653247">
        <w:rPr>
          <w:b/>
          <w:bCs/>
        </w:rPr>
        <w:t xml:space="preserve"> </w:t>
      </w:r>
      <w:r w:rsidR="00115C50">
        <w:t>is</w:t>
      </w:r>
      <w:r w:rsidR="00115C50" w:rsidRPr="004C7398">
        <w:t xml:space="preserve"> </w:t>
      </w:r>
      <w:r w:rsidRPr="004C7398">
        <w:t xml:space="preserve">an application for substituted service where Telkom </w:t>
      </w:r>
      <w:r w:rsidR="00BD7181">
        <w:t>seeks</w:t>
      </w:r>
      <w:r w:rsidR="00BD7181" w:rsidRPr="004C7398">
        <w:t xml:space="preserve"> </w:t>
      </w:r>
      <w:r w:rsidRPr="004C7398">
        <w:t xml:space="preserve">the leave of the court to effect service of the application by directing </w:t>
      </w:r>
      <w:r w:rsidRPr="004C7398">
        <w:lastRenderedPageBreak/>
        <w:t xml:space="preserve">ICASA to publish the application on its website. Telkom withdrew this part of its application on </w:t>
      </w:r>
      <w:r w:rsidR="00757713">
        <w:t>7 January 2021</w:t>
      </w:r>
      <w:r w:rsidRPr="004C7398">
        <w:t xml:space="preserve">. </w:t>
      </w:r>
    </w:p>
    <w:p w14:paraId="577430DF" w14:textId="1DFEEEBF" w:rsidR="007B7B74" w:rsidRPr="004C7398" w:rsidRDefault="007B7B74" w:rsidP="00140C60">
      <w:pPr>
        <w:pStyle w:val="2"/>
      </w:pPr>
      <w:r w:rsidRPr="004C7398">
        <w:t>Part B</w:t>
      </w:r>
      <w:r w:rsidRPr="004C7398">
        <w:rPr>
          <w:b/>
          <w:bCs/>
        </w:rPr>
        <w:t xml:space="preserve"> </w:t>
      </w:r>
      <w:r w:rsidRPr="004C7398">
        <w:t>is an urgent application for interim interdictory relief against ICASA pending the outcome of the review application in Part C, to stop ICASA from assessing and adjudicating applications pursuant to the ITA, and to suspend the closing date for WOAN applications</w:t>
      </w:r>
      <w:r w:rsidR="00653247">
        <w:t>.</w:t>
      </w:r>
    </w:p>
    <w:p w14:paraId="1F83C4AA" w14:textId="77777777" w:rsidR="007B7B74" w:rsidRPr="004C7398" w:rsidRDefault="007B7B74" w:rsidP="001951A1">
      <w:pPr>
        <w:pStyle w:val="2"/>
      </w:pPr>
      <w:r w:rsidRPr="004C7398">
        <w:t>Part C</w:t>
      </w:r>
      <w:r w:rsidRPr="004C7398">
        <w:rPr>
          <w:b/>
          <w:bCs/>
        </w:rPr>
        <w:t xml:space="preserve"> </w:t>
      </w:r>
      <w:r w:rsidRPr="004C7398">
        <w:t>is an application consisting of two parts:</w:t>
      </w:r>
    </w:p>
    <w:p w14:paraId="1D1C6595" w14:textId="5819D54D" w:rsidR="007B7B74" w:rsidRPr="004C7398" w:rsidRDefault="007B7B74" w:rsidP="001951A1">
      <w:pPr>
        <w:pStyle w:val="3"/>
      </w:pPr>
      <w:r w:rsidRPr="004C7398">
        <w:t xml:space="preserve">In the first part, Telkom brings an application for judicial review under Rule 53 of the Uniform Rules, seeking an order to set aside decisions pertaining to the respective WOAN and spectrum auction ITA processes; </w:t>
      </w:r>
    </w:p>
    <w:p w14:paraId="55D35A1C" w14:textId="09A56EDE" w:rsidR="00653247" w:rsidRDefault="007B7B74" w:rsidP="00DD38E2">
      <w:pPr>
        <w:pStyle w:val="3"/>
      </w:pPr>
      <w:r w:rsidRPr="004C7398">
        <w:t xml:space="preserve">In the second part, Telkom seeks several orders, some directed at ICASA and others at the Minister of Communications, to carry out specified activities before the ITA can be published again.  </w:t>
      </w:r>
    </w:p>
    <w:p w14:paraId="17A3816D" w14:textId="325A1BFE" w:rsidR="007B7B74" w:rsidRPr="004C7398" w:rsidRDefault="007B7B74" w:rsidP="00DD38E2">
      <w:pPr>
        <w:pStyle w:val="1"/>
      </w:pPr>
      <w:r w:rsidRPr="004C7398">
        <w:t xml:space="preserve">In </w:t>
      </w:r>
      <w:r w:rsidR="00653247">
        <w:t xml:space="preserve">short, </w:t>
      </w:r>
      <w:r w:rsidRPr="004C7398">
        <w:t>Telkom</w:t>
      </w:r>
      <w:r w:rsidR="00D808A9">
        <w:t>’s application</w:t>
      </w:r>
      <w:r w:rsidRPr="004C7398">
        <w:t xml:space="preserve"> seeks to </w:t>
      </w:r>
      <w:r w:rsidR="00115C50">
        <w:t>halt</w:t>
      </w:r>
      <w:r w:rsidR="00115C50" w:rsidRPr="004C7398">
        <w:t xml:space="preserve"> </w:t>
      </w:r>
      <w:r w:rsidRPr="004C7398">
        <w:t xml:space="preserve">the entire ITA process until ICASA and the Minister of Communications have implemented </w:t>
      </w:r>
      <w:proofErr w:type="gramStart"/>
      <w:r w:rsidRPr="004C7398">
        <w:t>a number of</w:t>
      </w:r>
      <w:proofErr w:type="gramEnd"/>
      <w:r w:rsidRPr="004C7398">
        <w:t xml:space="preserve"> specified </w:t>
      </w:r>
      <w:r w:rsidR="0099654F">
        <w:t>actions</w:t>
      </w:r>
      <w:r w:rsidRPr="004C7398">
        <w:t>.</w:t>
      </w:r>
    </w:p>
    <w:p w14:paraId="76A8FC19" w14:textId="62FB19D9" w:rsidR="007B7B74" w:rsidRPr="004C7398" w:rsidRDefault="00F128B5" w:rsidP="00DD38E2">
      <w:pPr>
        <w:pStyle w:val="1"/>
      </w:pPr>
      <w:r>
        <w:t xml:space="preserve">As presently advised, </w:t>
      </w:r>
      <w:r w:rsidR="007B7B74" w:rsidRPr="004C7398">
        <w:t xml:space="preserve">MTN </w:t>
      </w:r>
      <w:r>
        <w:t xml:space="preserve">intends to </w:t>
      </w:r>
      <w:r w:rsidR="00115C50">
        <w:t>abide</w:t>
      </w:r>
      <w:r w:rsidR="00653247">
        <w:t xml:space="preserve"> </w:t>
      </w:r>
      <w:r w:rsidR="007B7B74">
        <w:t>the relief sought by Telkom in</w:t>
      </w:r>
      <w:r w:rsidR="007B7B74" w:rsidRPr="004C7398">
        <w:t xml:space="preserve"> Parts B and C of </w:t>
      </w:r>
      <w:r w:rsidR="007B7B74">
        <w:t>its application</w:t>
      </w:r>
      <w:r w:rsidR="007B7B74" w:rsidRPr="004C7398">
        <w:t xml:space="preserve">. </w:t>
      </w:r>
      <w:r w:rsidR="0069125E">
        <w:t xml:space="preserve"> </w:t>
      </w:r>
      <w:r w:rsidR="007B7B74" w:rsidRPr="004C7398">
        <w:t xml:space="preserve">However, there are </w:t>
      </w:r>
      <w:proofErr w:type="gramStart"/>
      <w:r w:rsidR="007B7B74" w:rsidRPr="004C7398">
        <w:t>a number of</w:t>
      </w:r>
      <w:proofErr w:type="gramEnd"/>
      <w:r w:rsidR="007B7B74" w:rsidRPr="004C7398">
        <w:t xml:space="preserve"> allegations Telkom makes in its founding affidavit</w:t>
      </w:r>
      <w:r w:rsidR="00D808A9">
        <w:t xml:space="preserve"> </w:t>
      </w:r>
      <w:r w:rsidR="007B7B74" w:rsidRPr="004C7398">
        <w:t xml:space="preserve">that MTN disputes. </w:t>
      </w:r>
      <w:r w:rsidR="00EA694F">
        <w:t xml:space="preserve"> </w:t>
      </w:r>
      <w:r w:rsidR="007B7B74" w:rsidRPr="004C7398">
        <w:t xml:space="preserve">For the limited purpose of putting its side of the story on factual allegations it disputes, MTN will in due course file an answering affidavit </w:t>
      </w:r>
      <w:r w:rsidR="00BD7181">
        <w:t>in</w:t>
      </w:r>
      <w:r w:rsidR="00BD7181" w:rsidRPr="004C7398">
        <w:t xml:space="preserve"> </w:t>
      </w:r>
      <w:r w:rsidR="007B7B74" w:rsidRPr="004C7398">
        <w:t>the Telkom application.</w:t>
      </w:r>
    </w:p>
    <w:p w14:paraId="4BDC528D" w14:textId="140B1281" w:rsidR="007B7B74" w:rsidRPr="004C7398" w:rsidRDefault="00653247">
      <w:pPr>
        <w:pStyle w:val="1"/>
      </w:pPr>
      <w:r>
        <w:lastRenderedPageBreak/>
        <w:t xml:space="preserve">MTN’s application is much more limited than Telkom’s application.  </w:t>
      </w:r>
      <w:r w:rsidR="007B7B74" w:rsidRPr="004C7398">
        <w:t xml:space="preserve">MTN seeks </w:t>
      </w:r>
      <w:r w:rsidR="00BD7181">
        <w:t xml:space="preserve">relief </w:t>
      </w:r>
      <w:r w:rsidR="007B7B74" w:rsidRPr="004C7398">
        <w:t xml:space="preserve">with a very narrow focus, being to excise the Opt-In Scheme </w:t>
      </w:r>
      <w:r w:rsidR="00A97D67">
        <w:t>and</w:t>
      </w:r>
      <w:r w:rsidR="00D808A9">
        <w:t xml:space="preserve"> the</w:t>
      </w:r>
      <w:r w:rsidR="00A97D67">
        <w:t xml:space="preserve"> Operator Categorisation </w:t>
      </w:r>
      <w:r w:rsidR="007B7B74" w:rsidRPr="004C7398">
        <w:t xml:space="preserve">from the </w:t>
      </w:r>
      <w:r w:rsidR="00A97D67">
        <w:t>ITA process</w:t>
      </w:r>
      <w:r w:rsidR="007B7B74" w:rsidRPr="004C7398">
        <w:t>, whereas Telkom</w:t>
      </w:r>
      <w:r w:rsidR="00D808A9">
        <w:t>’s</w:t>
      </w:r>
      <w:r w:rsidR="007B7B74" w:rsidRPr="004C7398">
        <w:t xml:space="preserve"> application </w:t>
      </w:r>
      <w:r w:rsidR="00115C50">
        <w:t xml:space="preserve">seeks to bring the entire ITA process to a </w:t>
      </w:r>
      <w:r w:rsidR="00A509C2">
        <w:t xml:space="preserve">grinding </w:t>
      </w:r>
      <w:r w:rsidR="00115C50">
        <w:t xml:space="preserve">halt.   </w:t>
      </w:r>
      <w:r w:rsidR="007B7B74" w:rsidRPr="004C7398">
        <w:t>MTN</w:t>
      </w:r>
      <w:r w:rsidR="00A509C2">
        <w:t xml:space="preserve">’s preference would be to have </w:t>
      </w:r>
      <w:r w:rsidR="007B7B74" w:rsidRPr="004C7398">
        <w:t>the auction proceed as scheduled, albeit without the Opt-In scheme</w:t>
      </w:r>
      <w:r w:rsidR="003E08A6">
        <w:t xml:space="preserve"> and Operator Categorisation</w:t>
      </w:r>
      <w:r w:rsidR="007B7B74" w:rsidRPr="004C7398">
        <w:t>.</w:t>
      </w:r>
    </w:p>
    <w:p w14:paraId="5E57D4A5" w14:textId="356B2A0B" w:rsidR="007B7B74" w:rsidRDefault="007B7B74">
      <w:pPr>
        <w:pStyle w:val="1"/>
      </w:pPr>
      <w:r w:rsidRPr="004C7398">
        <w:t>Although some of the facts and information in this application and Telkom</w:t>
      </w:r>
      <w:r w:rsidR="00D808A9">
        <w:t>’s</w:t>
      </w:r>
      <w:r w:rsidRPr="004C7398">
        <w:t xml:space="preserve"> application </w:t>
      </w:r>
      <w:r w:rsidR="00653247">
        <w:t xml:space="preserve">overlap, </w:t>
      </w:r>
      <w:r w:rsidRPr="004C7398">
        <w:t>it is apparent that the MTN and Telkom applications are in pursuit of largely incompatible outcomes.</w:t>
      </w:r>
    </w:p>
    <w:p w14:paraId="6E0713E1" w14:textId="78CA9EEF" w:rsidR="00653247" w:rsidRDefault="007B7B74">
      <w:pPr>
        <w:pStyle w:val="1"/>
      </w:pPr>
      <w:proofErr w:type="gramStart"/>
      <w:r>
        <w:t>In the event that</w:t>
      </w:r>
      <w:proofErr w:type="gramEnd"/>
      <w:r>
        <w:t xml:space="preserve"> Telkom </w:t>
      </w:r>
      <w:r w:rsidR="00653247">
        <w:t xml:space="preserve">were to </w:t>
      </w:r>
      <w:r>
        <w:t xml:space="preserve">succeed in obtaining </w:t>
      </w:r>
      <w:r w:rsidR="00653247">
        <w:t xml:space="preserve">an </w:t>
      </w:r>
      <w:r>
        <w:t xml:space="preserve">interim interdict halting the auction rounds, MTN </w:t>
      </w:r>
      <w:r w:rsidR="00653247">
        <w:t xml:space="preserve">will seek to have the hearing of </w:t>
      </w:r>
      <w:r w:rsidR="00115C50">
        <w:t>its</w:t>
      </w:r>
      <w:r w:rsidR="00653247">
        <w:t xml:space="preserve"> application consolidated with the hearing of Part C of Telkom’s application.</w:t>
      </w:r>
    </w:p>
    <w:p w14:paraId="66ECCA79" w14:textId="34C85472" w:rsidR="00637DF1" w:rsidRDefault="00637DF1">
      <w:pPr>
        <w:pStyle w:val="1"/>
      </w:pPr>
      <w:proofErr w:type="gramStart"/>
      <w:r>
        <w:t>In the event that</w:t>
      </w:r>
      <w:proofErr w:type="gramEnd"/>
      <w:r>
        <w:t xml:space="preserve"> Telkom is unsuccessful in obtaining interim relief, MTN will persist in seeking to have </w:t>
      </w:r>
      <w:r w:rsidR="00D808A9">
        <w:t xml:space="preserve">its application </w:t>
      </w:r>
      <w:r>
        <w:t>argued in advance of 23 March 2021.</w:t>
      </w:r>
    </w:p>
    <w:p w14:paraId="394CDA43" w14:textId="3B279F57" w:rsidR="00130943" w:rsidRDefault="00094FA8">
      <w:pPr>
        <w:pStyle w:val="Heading1"/>
      </w:pPr>
      <w:bookmarkStart w:id="28" w:name="_Toc62222163"/>
      <w:r>
        <w:t>CONCLUSION</w:t>
      </w:r>
      <w:bookmarkEnd w:id="28"/>
    </w:p>
    <w:p w14:paraId="5A573D40" w14:textId="66033040" w:rsidR="00732C8D" w:rsidRPr="00732C8D" w:rsidRDefault="00732C8D" w:rsidP="001951A1">
      <w:pPr>
        <w:pStyle w:val="1"/>
      </w:pPr>
      <w:r>
        <w:t xml:space="preserve">In the circumstances, MTN </w:t>
      </w:r>
      <w:r w:rsidR="0099106C">
        <w:t xml:space="preserve">prays for </w:t>
      </w:r>
      <w:r>
        <w:t xml:space="preserve">an order in terms of the notice of motion to which this affidavit is attached. </w:t>
      </w:r>
    </w:p>
    <w:p w14:paraId="3253F6FE" w14:textId="4235DCA6" w:rsidR="00342F23" w:rsidRDefault="00342F23" w:rsidP="00342F23">
      <w:pPr>
        <w:pStyle w:val="FirstlevelNumbered"/>
        <w:numPr>
          <w:ilvl w:val="0"/>
          <w:numId w:val="0"/>
        </w:numPr>
        <w:ind w:left="567" w:hanging="567"/>
      </w:pPr>
    </w:p>
    <w:p w14:paraId="275E92BD" w14:textId="35D89E6D" w:rsidR="00732C8D" w:rsidRDefault="003B38E2" w:rsidP="001614DD">
      <w:pPr>
        <w:spacing w:after="0" w:line="240" w:lineRule="auto"/>
        <w:jc w:val="right"/>
      </w:pPr>
      <w:r>
        <w:t>________________________</w:t>
      </w:r>
    </w:p>
    <w:p w14:paraId="7AADFFCF" w14:textId="76A47E83" w:rsidR="00E80F80" w:rsidRPr="00140C60" w:rsidRDefault="001D34C0" w:rsidP="001614DD">
      <w:pPr>
        <w:spacing w:before="0" w:after="0" w:line="240" w:lineRule="auto"/>
        <w:jc w:val="right"/>
        <w:rPr>
          <w:b/>
          <w:bCs/>
        </w:rPr>
      </w:pPr>
      <w:r w:rsidRPr="001D34C0">
        <w:rPr>
          <w:b/>
          <w:bCs/>
        </w:rPr>
        <w:t>MOSES MUXE MASHISANE</w:t>
      </w:r>
    </w:p>
    <w:p w14:paraId="3531C4E5" w14:textId="77777777" w:rsidR="003B38E2" w:rsidRDefault="003B38E2" w:rsidP="001614DD">
      <w:pPr>
        <w:spacing w:before="0" w:line="240" w:lineRule="auto"/>
        <w:jc w:val="right"/>
      </w:pPr>
    </w:p>
    <w:p w14:paraId="42FA2A6D" w14:textId="77777777" w:rsidR="00980FC7" w:rsidRDefault="00980FC7" w:rsidP="00980FC7">
      <w:pPr>
        <w:pStyle w:val="WWBodyText"/>
        <w:tabs>
          <w:tab w:val="right" w:pos="3544"/>
          <w:tab w:val="right" w:pos="6946"/>
          <w:tab w:val="right" w:pos="9638"/>
        </w:tabs>
      </w:pPr>
      <w:r>
        <w:t xml:space="preserve">The Deponent has acknowledged that the Deponent knows and understands the contents of this affidavit, which was signed and sworn to or solemnly affirmed before me at </w:t>
      </w:r>
      <w:r>
        <w:rPr>
          <w:u w:val="single"/>
        </w:rPr>
        <w:tab/>
      </w:r>
      <w:r>
        <w:rPr>
          <w:u w:val="single"/>
        </w:rPr>
        <w:br/>
      </w:r>
      <w:r>
        <w:t xml:space="preserve">on </w:t>
      </w:r>
      <w:r>
        <w:rPr>
          <w:u w:val="single"/>
        </w:rPr>
        <w:tab/>
      </w:r>
      <w:r>
        <w:rPr>
          <w:u w:val="single"/>
        </w:rPr>
        <w:tab/>
      </w:r>
      <w:r>
        <w:rPr>
          <w:rFonts w:cs="Arial"/>
        </w:rPr>
        <w:t>2020</w:t>
      </w:r>
      <w:r>
        <w:t xml:space="preserve">, the regulations contained in Government Notice </w:t>
      </w:r>
      <w:r>
        <w:lastRenderedPageBreak/>
        <w:t>No. R1258 of 21 July 1972, as amended, and Government Notice No. R1648 of 19 August 1977, as amended, having been complied with.</w:t>
      </w:r>
    </w:p>
    <w:p w14:paraId="123A5FFC" w14:textId="77777777" w:rsidR="00980FC7" w:rsidRPr="00754770" w:rsidRDefault="00980FC7" w:rsidP="00980FC7">
      <w:pPr>
        <w:keepNext/>
        <w:tabs>
          <w:tab w:val="left" w:pos="4253"/>
          <w:tab w:val="right" w:leader="underscore" w:pos="8505"/>
        </w:tabs>
      </w:pPr>
      <w:r w:rsidRPr="00754770">
        <w:tab/>
      </w:r>
      <w:r>
        <w:tab/>
      </w:r>
    </w:p>
    <w:p w14:paraId="6480FC7E" w14:textId="77777777" w:rsidR="00980FC7" w:rsidRPr="00754770" w:rsidRDefault="00980FC7" w:rsidP="00980FC7">
      <w:pPr>
        <w:pStyle w:val="BodyText"/>
        <w:keepNext/>
        <w:tabs>
          <w:tab w:val="left" w:pos="4253"/>
        </w:tabs>
        <w:spacing w:before="60" w:after="120"/>
        <w:ind w:left="4253"/>
      </w:pPr>
      <w:r w:rsidRPr="00754770">
        <w:t>Commissioner of oaths</w:t>
      </w:r>
    </w:p>
    <w:p w14:paraId="43636595" w14:textId="77777777" w:rsidR="00980FC7" w:rsidRPr="00754770" w:rsidRDefault="00980FC7" w:rsidP="00980FC7">
      <w:pPr>
        <w:pStyle w:val="BodyText"/>
        <w:keepNext/>
        <w:tabs>
          <w:tab w:val="right" w:pos="3828"/>
        </w:tabs>
        <w:spacing w:after="0"/>
      </w:pPr>
      <w:r w:rsidRPr="00754770">
        <w:tab/>
        <w:t>Full names:</w:t>
      </w:r>
    </w:p>
    <w:p w14:paraId="573CEFFA" w14:textId="77777777" w:rsidR="00980FC7" w:rsidRPr="00754770" w:rsidRDefault="00980FC7" w:rsidP="00980FC7">
      <w:pPr>
        <w:pStyle w:val="BodyText"/>
        <w:keepNext/>
        <w:tabs>
          <w:tab w:val="right" w:pos="3828"/>
        </w:tabs>
        <w:spacing w:after="0"/>
      </w:pPr>
      <w:r w:rsidRPr="00754770">
        <w:tab/>
        <w:t>Business address:</w:t>
      </w:r>
    </w:p>
    <w:p w14:paraId="57CF2468" w14:textId="77777777" w:rsidR="00980FC7" w:rsidRPr="00754770" w:rsidRDefault="00980FC7" w:rsidP="00980FC7">
      <w:pPr>
        <w:pStyle w:val="BodyText"/>
        <w:keepNext/>
        <w:tabs>
          <w:tab w:val="right" w:pos="3828"/>
        </w:tabs>
        <w:spacing w:after="0"/>
      </w:pPr>
      <w:r w:rsidRPr="00754770">
        <w:tab/>
        <w:t>Designation:</w:t>
      </w:r>
    </w:p>
    <w:p w14:paraId="40B49AC6" w14:textId="77777777" w:rsidR="00980FC7" w:rsidRDefault="00980FC7" w:rsidP="00980FC7">
      <w:pPr>
        <w:pStyle w:val="BodyText"/>
        <w:keepNext/>
        <w:tabs>
          <w:tab w:val="right" w:pos="3828"/>
        </w:tabs>
        <w:spacing w:after="0"/>
      </w:pPr>
      <w:r w:rsidRPr="00754770">
        <w:tab/>
        <w:t>Capacity:</w:t>
      </w:r>
    </w:p>
    <w:p w14:paraId="158BAB92" w14:textId="77777777" w:rsidR="003B38E2" w:rsidRPr="003B38E2" w:rsidRDefault="003B38E2" w:rsidP="001614DD"/>
    <w:sectPr w:rsidR="003B38E2" w:rsidRPr="003B38E2" w:rsidSect="00483035">
      <w:footerReference w:type="even" r:id="rId12"/>
      <w:footerReference w:type="defaul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A9C8" w14:textId="77777777" w:rsidR="002951EA" w:rsidRDefault="002951EA" w:rsidP="00483035">
      <w:pPr>
        <w:spacing w:before="0" w:after="0" w:line="240" w:lineRule="auto"/>
      </w:pPr>
      <w:r>
        <w:separator/>
      </w:r>
    </w:p>
  </w:endnote>
  <w:endnote w:type="continuationSeparator" w:id="0">
    <w:p w14:paraId="6D5C9BBC" w14:textId="77777777" w:rsidR="002951EA" w:rsidRDefault="002951EA" w:rsidP="00483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altName w:val="Tahoma"/>
    <w:panose1 w:val="020B0704020202020204"/>
    <w:charset w:val="00"/>
    <w:family w:val="roman"/>
    <w:notTrueType/>
    <w:pitch w:val="default"/>
  </w:font>
  <w:font w:name="Gotham Narrow Medium">
    <w:altName w:val="Tahoma"/>
    <w:charset w:val="00"/>
    <w:family w:val="swiss"/>
    <w:pitch w:val="default"/>
    <w:sig w:usb0="00000003" w:usb1="00000000" w:usb2="00000000" w:usb3="00000000" w:csb0="00000001" w:csb1="00000000"/>
  </w:font>
  <w:font w:name="Gotham Narrow Light">
    <w:altName w:val="Gotham Narrow Light"/>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154090"/>
      <w:docPartObj>
        <w:docPartGallery w:val="Page Numbers (Bottom of Page)"/>
        <w:docPartUnique/>
      </w:docPartObj>
    </w:sdtPr>
    <w:sdtEndPr>
      <w:rPr>
        <w:rStyle w:val="PageNumber"/>
      </w:rPr>
    </w:sdtEndPr>
    <w:sdtContent>
      <w:p w14:paraId="4A35DB04" w14:textId="77777777" w:rsidR="007A7433" w:rsidRDefault="007A7433" w:rsidP="000A1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FFE19" w14:textId="77777777" w:rsidR="007A7433" w:rsidRDefault="007A7433" w:rsidP="00483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878326"/>
      <w:docPartObj>
        <w:docPartGallery w:val="Page Numbers (Bottom of Page)"/>
        <w:docPartUnique/>
      </w:docPartObj>
    </w:sdtPr>
    <w:sdtEndPr>
      <w:rPr>
        <w:rStyle w:val="PageNumber"/>
      </w:rPr>
    </w:sdtEndPr>
    <w:sdtContent>
      <w:p w14:paraId="65358EE2" w14:textId="77777777" w:rsidR="007A7433" w:rsidRDefault="007A7433" w:rsidP="000A1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B753B6" w14:textId="77777777" w:rsidR="007A7433" w:rsidRDefault="007A7433" w:rsidP="004830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53A0" w14:textId="77777777" w:rsidR="002951EA" w:rsidRDefault="002951EA" w:rsidP="00483035">
      <w:pPr>
        <w:spacing w:before="0" w:after="0" w:line="240" w:lineRule="auto"/>
      </w:pPr>
      <w:r>
        <w:separator/>
      </w:r>
    </w:p>
  </w:footnote>
  <w:footnote w:type="continuationSeparator" w:id="0">
    <w:p w14:paraId="26C2DC3A" w14:textId="77777777" w:rsidR="002951EA" w:rsidRDefault="002951EA" w:rsidP="004830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42DD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F07FE8"/>
    <w:lvl w:ilvl="0">
      <w:start w:val="1"/>
      <w:numFmt w:val="decimal"/>
      <w:pStyle w:val="WWList2"/>
      <w:lvlText w:val="%1."/>
      <w:lvlJc w:val="left"/>
      <w:pPr>
        <w:tabs>
          <w:tab w:val="num" w:pos="1209"/>
        </w:tabs>
        <w:ind w:left="1209" w:hanging="360"/>
      </w:pPr>
    </w:lvl>
  </w:abstractNum>
  <w:abstractNum w:abstractNumId="2" w15:restartNumberingAfterBreak="0">
    <w:nsid w:val="FFFFFF81"/>
    <w:multiLevelType w:val="singleLevel"/>
    <w:tmpl w:val="4476C34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C35AD846"/>
    <w:lvl w:ilvl="0">
      <w:start w:val="1"/>
      <w:numFmt w:val="decimal"/>
      <w:pStyle w:val="ListNumber"/>
      <w:lvlText w:val="%1."/>
      <w:lvlJc w:val="left"/>
      <w:pPr>
        <w:tabs>
          <w:tab w:val="num" w:pos="360"/>
        </w:tabs>
        <w:ind w:left="360" w:hanging="360"/>
      </w:pPr>
    </w:lvl>
  </w:abstractNum>
  <w:abstractNum w:abstractNumId="4" w15:restartNumberingAfterBreak="0">
    <w:nsid w:val="07A3299B"/>
    <w:multiLevelType w:val="multilevel"/>
    <w:tmpl w:val="CCD0EA2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D58AE"/>
    <w:multiLevelType w:val="multilevel"/>
    <w:tmpl w:val="B768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10C7E"/>
    <w:multiLevelType w:val="hybridMultilevel"/>
    <w:tmpl w:val="135C239C"/>
    <w:lvl w:ilvl="0" w:tplc="90AECD1E">
      <w:start w:val="1"/>
      <w:numFmt w:val="bullet"/>
      <w:pStyle w:val="CaseNameHeading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B30E59"/>
    <w:multiLevelType w:val="multilevel"/>
    <w:tmpl w:val="D68C5186"/>
    <w:lvl w:ilvl="0">
      <w:start w:val="1"/>
      <w:numFmt w:val="decimal"/>
      <w:lvlText w:val="%1"/>
      <w:lvlJc w:val="left"/>
      <w:pPr>
        <w:ind w:left="567" w:hanging="567"/>
      </w:pPr>
      <w:rPr>
        <w:rFonts w:ascii="Arial" w:hAnsi="Arial" w:hint="default"/>
        <w:b w:val="0"/>
        <w:i w:val="0"/>
        <w:sz w:val="24"/>
      </w:rPr>
    </w:lvl>
    <w:lvl w:ilvl="1">
      <w:start w:val="1"/>
      <w:numFmt w:val="decimal"/>
      <w:lvlRestart w:val="0"/>
      <w:lvlText w:val="%1.%2"/>
      <w:lvlJc w:val="left"/>
      <w:pPr>
        <w:ind w:left="1418" w:hanging="851"/>
      </w:pPr>
      <w:rPr>
        <w:rFonts w:ascii="Arial" w:hAnsi="Arial" w:hint="default"/>
        <w:b w:val="0"/>
        <w:i w:val="0"/>
        <w:sz w:val="24"/>
      </w:rPr>
    </w:lvl>
    <w:lvl w:ilvl="2">
      <w:start w:val="1"/>
      <w:numFmt w:val="decimal"/>
      <w:pStyle w:val="Heading3"/>
      <w:lvlText w:val="%1.%2.%3"/>
      <w:lvlJc w:val="left"/>
      <w:pPr>
        <w:ind w:left="720" w:hanging="720"/>
      </w:pPr>
      <w:rPr>
        <w:rFonts w:hint="default"/>
        <w:b w:val="0"/>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EC32EAB"/>
    <w:multiLevelType w:val="multilevel"/>
    <w:tmpl w:val="068ED78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247"/>
        </w:tabs>
        <w:ind w:left="1247" w:hanging="680"/>
      </w:pPr>
      <w:rPr>
        <w:rFonts w:ascii="Arial" w:hAnsi="Arial" w:cs="Arial" w:hint="default"/>
        <w:sz w:val="24"/>
        <w:szCs w:val="24"/>
      </w:rPr>
    </w:lvl>
    <w:lvl w:ilvl="2">
      <w:start w:val="1"/>
      <w:numFmt w:val="decimal"/>
      <w:lvlText w:val="%1.%2.%3"/>
      <w:lvlJc w:val="left"/>
      <w:pPr>
        <w:tabs>
          <w:tab w:val="num" w:pos="2155"/>
        </w:tabs>
        <w:ind w:left="2155" w:hanging="908"/>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E923D8"/>
    <w:multiLevelType w:val="multilevel"/>
    <w:tmpl w:val="D2324840"/>
    <w:lvl w:ilvl="0">
      <w:start w:val="1"/>
      <w:numFmt w:val="upperLetter"/>
      <w:pStyle w:val="Appendix1"/>
      <w:suff w:val="nothing"/>
      <w:lvlText w:val="Appendix %1"/>
      <w:lvlJc w:val="left"/>
      <w:pPr>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none"/>
      <w:pStyle w:val="Appendix4"/>
      <w:suff w:val="nothing"/>
      <w:lvlText w:val=""/>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D13E45"/>
    <w:multiLevelType w:val="multilevel"/>
    <w:tmpl w:val="7C2E6196"/>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C81954"/>
    <w:multiLevelType w:val="hybridMultilevel"/>
    <w:tmpl w:val="8EAA9AF2"/>
    <w:lvl w:ilvl="0" w:tplc="831674C8">
      <w:numFmt w:val="bullet"/>
      <w:lvlText w:val="-"/>
      <w:lvlJc w:val="left"/>
      <w:pPr>
        <w:ind w:left="1069" w:hanging="360"/>
      </w:pPr>
      <w:rPr>
        <w:rFonts w:ascii="Arial" w:eastAsia="Times New Roman"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15:restartNumberingAfterBreak="0">
    <w:nsid w:val="47C877B2"/>
    <w:multiLevelType w:val="multilevel"/>
    <w:tmpl w:val="0809001F"/>
    <w:numStyleLink w:val="111111"/>
  </w:abstractNum>
  <w:abstractNum w:abstractNumId="1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BF2589C"/>
    <w:multiLevelType w:val="multilevel"/>
    <w:tmpl w:val="0809001F"/>
    <w:styleLink w:val="111111"/>
    <w:lvl w:ilvl="0">
      <w:start w:val="1"/>
      <w:numFmt w:val="decimal"/>
      <w:pStyle w:val="FirstlevelNumbered"/>
      <w:lvlText w:val="%1."/>
      <w:lvlJc w:val="left"/>
      <w:pPr>
        <w:ind w:left="360" w:hanging="360"/>
      </w:pPr>
    </w:lvl>
    <w:lvl w:ilvl="1">
      <w:start w:val="1"/>
      <w:numFmt w:val="decimal"/>
      <w:pStyle w:val="ListNumbe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F619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A61304"/>
    <w:multiLevelType w:val="multilevel"/>
    <w:tmpl w:val="ECE010FC"/>
    <w:lvl w:ilvl="0">
      <w:start w:val="1"/>
      <w:numFmt w:val="decimal"/>
      <w:pStyle w:val="WLGLevel1"/>
      <w:lvlText w:val="%1"/>
      <w:lvlJc w:val="left"/>
      <w:pPr>
        <w:tabs>
          <w:tab w:val="num" w:pos="567"/>
        </w:tabs>
        <w:ind w:left="567" w:hanging="567"/>
      </w:pPr>
      <w:rPr>
        <w:rFonts w:hint="default"/>
        <w:b w:val="0"/>
        <w:sz w:val="24"/>
        <w:szCs w:val="24"/>
      </w:rPr>
    </w:lvl>
    <w:lvl w:ilvl="1">
      <w:start w:val="1"/>
      <w:numFmt w:val="decimal"/>
      <w:pStyle w:val="WLGLevel2"/>
      <w:lvlText w:val="%1.%2"/>
      <w:lvlJc w:val="left"/>
      <w:pPr>
        <w:tabs>
          <w:tab w:val="num" w:pos="1361"/>
        </w:tabs>
        <w:ind w:left="1361" w:hanging="794"/>
      </w:pPr>
      <w:rPr>
        <w:rFonts w:ascii="Arial" w:hAnsi="Arial" w:cs="Arial" w:hint="default"/>
        <w:i w:val="0"/>
        <w:sz w:val="24"/>
        <w:szCs w:val="24"/>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7" w15:restartNumberingAfterBreak="0">
    <w:nsid w:val="66D25BAC"/>
    <w:multiLevelType w:val="multilevel"/>
    <w:tmpl w:val="2B083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E73903"/>
    <w:multiLevelType w:val="multilevel"/>
    <w:tmpl w:val="E7A2C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0E706B"/>
    <w:multiLevelType w:val="multilevel"/>
    <w:tmpl w:val="22FECBE2"/>
    <w:lvl w:ilvl="0">
      <w:start w:val="1"/>
      <w:numFmt w:val="decimal"/>
      <w:pStyle w:val="1"/>
      <w:isLgl/>
      <w:lvlText w:val="%1."/>
      <w:lvlJc w:val="left"/>
      <w:pPr>
        <w:ind w:left="709" w:hanging="567"/>
      </w:pPr>
      <w:rPr>
        <w:rFonts w:ascii="Arial" w:hAnsi="Arial" w:hint="default"/>
        <w:b w:val="0"/>
        <w:i w:val="0"/>
        <w:sz w:val="24"/>
      </w:rPr>
    </w:lvl>
    <w:lvl w:ilvl="1">
      <w:start w:val="1"/>
      <w:numFmt w:val="decimal"/>
      <w:pStyle w:val="2"/>
      <w:isLgl/>
      <w:lvlText w:val="%1.%2."/>
      <w:lvlJc w:val="left"/>
      <w:pPr>
        <w:ind w:left="4395" w:hanging="567"/>
      </w:pPr>
      <w:rPr>
        <w:rFonts w:ascii="Arial" w:hAnsi="Arial" w:hint="default"/>
        <w:b w:val="0"/>
        <w:i w:val="0"/>
        <w:sz w:val="24"/>
      </w:rPr>
    </w:lvl>
    <w:lvl w:ilvl="2">
      <w:start w:val="1"/>
      <w:numFmt w:val="decimal"/>
      <w:pStyle w:val="3"/>
      <w:isLgl/>
      <w:lvlText w:val="%1.%2.%3."/>
      <w:lvlJc w:val="left"/>
      <w:pPr>
        <w:ind w:left="1561" w:hanging="851"/>
      </w:pPr>
      <w:rPr>
        <w:rFonts w:ascii="Arial" w:hAnsi="Arial" w:hint="default"/>
        <w:b w:val="0"/>
        <w:i w:val="0"/>
        <w:sz w:val="24"/>
      </w:rPr>
    </w:lvl>
    <w:lvl w:ilvl="3">
      <w:start w:val="1"/>
      <w:numFmt w:val="decimal"/>
      <w:pStyle w:val="4"/>
      <w:lvlText w:val="%1.%2.%3.%4."/>
      <w:lvlJc w:val="left"/>
      <w:pPr>
        <w:ind w:left="2268" w:hanging="283"/>
      </w:pPr>
      <w:rPr>
        <w:rFonts w:ascii="Arial" w:hAnsi="Arial" w:hint="default"/>
        <w:b w:val="0"/>
        <w:i w:val="0"/>
        <w:sz w:val="24"/>
      </w:rPr>
    </w:lvl>
    <w:lvl w:ilvl="4">
      <w:start w:val="1"/>
      <w:numFmt w:val="decimal"/>
      <w:pStyle w:val="5"/>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num w:numId="1">
    <w:abstractNumId w:val="3"/>
  </w:num>
  <w:num w:numId="2">
    <w:abstractNumId w:val="1"/>
  </w:num>
  <w:num w:numId="3">
    <w:abstractNumId w:val="0"/>
  </w:num>
  <w:num w:numId="4">
    <w:abstractNumId w:val="7"/>
  </w:num>
  <w:num w:numId="5">
    <w:abstractNumId w:val="19"/>
  </w:num>
  <w:num w:numId="6">
    <w:abstractNumId w:val="12"/>
  </w:num>
  <w:num w:numId="7">
    <w:abstractNumId w:val="14"/>
  </w:num>
  <w:num w:numId="8">
    <w:abstractNumId w:val="13"/>
  </w:num>
  <w:num w:numId="9">
    <w:abstractNumId w:val="16"/>
  </w:num>
  <w:num w:numId="10">
    <w:abstractNumId w:val="9"/>
  </w:num>
  <w:num w:numId="11">
    <w:abstractNumId w:val="5"/>
  </w:num>
  <w:num w:numId="12">
    <w:abstractNumId w:val="4"/>
  </w:num>
  <w:num w:numId="13">
    <w:abstractNumId w:val="6"/>
  </w:num>
  <w:num w:numId="14">
    <w:abstractNumId w:val="10"/>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1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18"/>
  </w:num>
  <w:num w:numId="45">
    <w:abstractNumId w:val="15"/>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6CB"/>
    <w:rsid w:val="00000CD2"/>
    <w:rsid w:val="0000240B"/>
    <w:rsid w:val="00002C63"/>
    <w:rsid w:val="000067CC"/>
    <w:rsid w:val="00007C95"/>
    <w:rsid w:val="00014A9A"/>
    <w:rsid w:val="00021E3B"/>
    <w:rsid w:val="00023BEC"/>
    <w:rsid w:val="00025EAC"/>
    <w:rsid w:val="000268C9"/>
    <w:rsid w:val="00027EF9"/>
    <w:rsid w:val="000304A9"/>
    <w:rsid w:val="00033399"/>
    <w:rsid w:val="0003395D"/>
    <w:rsid w:val="0003423E"/>
    <w:rsid w:val="000352BB"/>
    <w:rsid w:val="00036A64"/>
    <w:rsid w:val="00036EBD"/>
    <w:rsid w:val="00037480"/>
    <w:rsid w:val="000374B5"/>
    <w:rsid w:val="00043165"/>
    <w:rsid w:val="000474E3"/>
    <w:rsid w:val="000514F8"/>
    <w:rsid w:val="00052856"/>
    <w:rsid w:val="00061CBD"/>
    <w:rsid w:val="000635CA"/>
    <w:rsid w:val="0006423F"/>
    <w:rsid w:val="00064253"/>
    <w:rsid w:val="000647B2"/>
    <w:rsid w:val="00065F77"/>
    <w:rsid w:val="00067DF8"/>
    <w:rsid w:val="000718C3"/>
    <w:rsid w:val="00073156"/>
    <w:rsid w:val="00073DBD"/>
    <w:rsid w:val="00077935"/>
    <w:rsid w:val="0008141D"/>
    <w:rsid w:val="000817AF"/>
    <w:rsid w:val="00082289"/>
    <w:rsid w:val="000865E8"/>
    <w:rsid w:val="00091DF0"/>
    <w:rsid w:val="00092A1A"/>
    <w:rsid w:val="00094FA8"/>
    <w:rsid w:val="00095FC6"/>
    <w:rsid w:val="00096075"/>
    <w:rsid w:val="000A14AA"/>
    <w:rsid w:val="000A1837"/>
    <w:rsid w:val="000A260B"/>
    <w:rsid w:val="000A6AF7"/>
    <w:rsid w:val="000A74C3"/>
    <w:rsid w:val="000B1716"/>
    <w:rsid w:val="000B219D"/>
    <w:rsid w:val="000B49F1"/>
    <w:rsid w:val="000B643B"/>
    <w:rsid w:val="000C06BD"/>
    <w:rsid w:val="000C0B91"/>
    <w:rsid w:val="000C34AA"/>
    <w:rsid w:val="000C47BC"/>
    <w:rsid w:val="000C519A"/>
    <w:rsid w:val="000C6C61"/>
    <w:rsid w:val="000C7FE4"/>
    <w:rsid w:val="000D03A8"/>
    <w:rsid w:val="000D0CB5"/>
    <w:rsid w:val="000D2133"/>
    <w:rsid w:val="000D25F7"/>
    <w:rsid w:val="000D38A3"/>
    <w:rsid w:val="000D4965"/>
    <w:rsid w:val="000D538E"/>
    <w:rsid w:val="000D5795"/>
    <w:rsid w:val="000D585E"/>
    <w:rsid w:val="000D6B2F"/>
    <w:rsid w:val="000E0A39"/>
    <w:rsid w:val="000E3253"/>
    <w:rsid w:val="000E3338"/>
    <w:rsid w:val="000E377D"/>
    <w:rsid w:val="000E3ECF"/>
    <w:rsid w:val="000E4344"/>
    <w:rsid w:val="000E465E"/>
    <w:rsid w:val="000E47C3"/>
    <w:rsid w:val="000E5011"/>
    <w:rsid w:val="000E542F"/>
    <w:rsid w:val="000E75EE"/>
    <w:rsid w:val="000E7D0A"/>
    <w:rsid w:val="000F101F"/>
    <w:rsid w:val="000F1E63"/>
    <w:rsid w:val="000F2436"/>
    <w:rsid w:val="000F2526"/>
    <w:rsid w:val="000F4625"/>
    <w:rsid w:val="000F6EC1"/>
    <w:rsid w:val="001012A3"/>
    <w:rsid w:val="00101377"/>
    <w:rsid w:val="00103B78"/>
    <w:rsid w:val="001043F0"/>
    <w:rsid w:val="00104B58"/>
    <w:rsid w:val="00105446"/>
    <w:rsid w:val="001072AE"/>
    <w:rsid w:val="00111F8B"/>
    <w:rsid w:val="00115C50"/>
    <w:rsid w:val="00122096"/>
    <w:rsid w:val="0012296C"/>
    <w:rsid w:val="00124CFD"/>
    <w:rsid w:val="001253C3"/>
    <w:rsid w:val="00125415"/>
    <w:rsid w:val="00126370"/>
    <w:rsid w:val="001303D4"/>
    <w:rsid w:val="00130943"/>
    <w:rsid w:val="00133474"/>
    <w:rsid w:val="00136B9B"/>
    <w:rsid w:val="00140C60"/>
    <w:rsid w:val="001457E9"/>
    <w:rsid w:val="0014583C"/>
    <w:rsid w:val="00145D17"/>
    <w:rsid w:val="00150B52"/>
    <w:rsid w:val="001540CC"/>
    <w:rsid w:val="00154520"/>
    <w:rsid w:val="001552EA"/>
    <w:rsid w:val="00155315"/>
    <w:rsid w:val="001567F8"/>
    <w:rsid w:val="00156E17"/>
    <w:rsid w:val="001570B2"/>
    <w:rsid w:val="00160E52"/>
    <w:rsid w:val="00160F7E"/>
    <w:rsid w:val="001614DD"/>
    <w:rsid w:val="00161A32"/>
    <w:rsid w:val="00162939"/>
    <w:rsid w:val="00172818"/>
    <w:rsid w:val="001737A4"/>
    <w:rsid w:val="00176C84"/>
    <w:rsid w:val="00183938"/>
    <w:rsid w:val="001877A9"/>
    <w:rsid w:val="00191898"/>
    <w:rsid w:val="001951A1"/>
    <w:rsid w:val="0019520D"/>
    <w:rsid w:val="001A1A09"/>
    <w:rsid w:val="001A49A2"/>
    <w:rsid w:val="001A573E"/>
    <w:rsid w:val="001A6421"/>
    <w:rsid w:val="001A7890"/>
    <w:rsid w:val="001A7D88"/>
    <w:rsid w:val="001B1A3E"/>
    <w:rsid w:val="001B1EFC"/>
    <w:rsid w:val="001B356B"/>
    <w:rsid w:val="001B375F"/>
    <w:rsid w:val="001B3A20"/>
    <w:rsid w:val="001B48B5"/>
    <w:rsid w:val="001B5F9C"/>
    <w:rsid w:val="001B7ACE"/>
    <w:rsid w:val="001C1D07"/>
    <w:rsid w:val="001C2B82"/>
    <w:rsid w:val="001C46A2"/>
    <w:rsid w:val="001C4B38"/>
    <w:rsid w:val="001C64DB"/>
    <w:rsid w:val="001C6D21"/>
    <w:rsid w:val="001D02AE"/>
    <w:rsid w:val="001D34C0"/>
    <w:rsid w:val="001E0B37"/>
    <w:rsid w:val="001E1B74"/>
    <w:rsid w:val="001E7B4C"/>
    <w:rsid w:val="001F0B04"/>
    <w:rsid w:val="001F197A"/>
    <w:rsid w:val="001F1E1F"/>
    <w:rsid w:val="001F2F7D"/>
    <w:rsid w:val="001F3B79"/>
    <w:rsid w:val="001F5798"/>
    <w:rsid w:val="001F5D5F"/>
    <w:rsid w:val="001F786A"/>
    <w:rsid w:val="001F7E38"/>
    <w:rsid w:val="002001B7"/>
    <w:rsid w:val="00200B52"/>
    <w:rsid w:val="00203366"/>
    <w:rsid w:val="002069E4"/>
    <w:rsid w:val="00207542"/>
    <w:rsid w:val="002076C6"/>
    <w:rsid w:val="0021153E"/>
    <w:rsid w:val="002170BA"/>
    <w:rsid w:val="00221CD4"/>
    <w:rsid w:val="00221DE9"/>
    <w:rsid w:val="00236B27"/>
    <w:rsid w:val="002405E1"/>
    <w:rsid w:val="002406EC"/>
    <w:rsid w:val="002420D3"/>
    <w:rsid w:val="00242DCB"/>
    <w:rsid w:val="00243887"/>
    <w:rsid w:val="0024782C"/>
    <w:rsid w:val="0025170A"/>
    <w:rsid w:val="00251961"/>
    <w:rsid w:val="00251EAC"/>
    <w:rsid w:val="002567CE"/>
    <w:rsid w:val="00264B1F"/>
    <w:rsid w:val="002679F3"/>
    <w:rsid w:val="002734D9"/>
    <w:rsid w:val="002743E3"/>
    <w:rsid w:val="00281575"/>
    <w:rsid w:val="002823E0"/>
    <w:rsid w:val="00283642"/>
    <w:rsid w:val="00283C0C"/>
    <w:rsid w:val="00284AA9"/>
    <w:rsid w:val="002925AF"/>
    <w:rsid w:val="00293592"/>
    <w:rsid w:val="002951DD"/>
    <w:rsid w:val="002951EA"/>
    <w:rsid w:val="002A06D8"/>
    <w:rsid w:val="002A07F1"/>
    <w:rsid w:val="002A186A"/>
    <w:rsid w:val="002A4BE9"/>
    <w:rsid w:val="002A5C0E"/>
    <w:rsid w:val="002A7DB8"/>
    <w:rsid w:val="002B068A"/>
    <w:rsid w:val="002B306F"/>
    <w:rsid w:val="002B30B4"/>
    <w:rsid w:val="002B441B"/>
    <w:rsid w:val="002B510A"/>
    <w:rsid w:val="002C287C"/>
    <w:rsid w:val="002C4BEB"/>
    <w:rsid w:val="002C4F5B"/>
    <w:rsid w:val="002C562F"/>
    <w:rsid w:val="002D0B38"/>
    <w:rsid w:val="002D111C"/>
    <w:rsid w:val="002D2469"/>
    <w:rsid w:val="002D77B3"/>
    <w:rsid w:val="002E28BE"/>
    <w:rsid w:val="002E3586"/>
    <w:rsid w:val="002E45E0"/>
    <w:rsid w:val="002E48E6"/>
    <w:rsid w:val="002E7F73"/>
    <w:rsid w:val="002F07A5"/>
    <w:rsid w:val="002F0FDA"/>
    <w:rsid w:val="002F3E44"/>
    <w:rsid w:val="002F5085"/>
    <w:rsid w:val="002F581B"/>
    <w:rsid w:val="002F5E84"/>
    <w:rsid w:val="002F727C"/>
    <w:rsid w:val="002F7FFE"/>
    <w:rsid w:val="00301D57"/>
    <w:rsid w:val="00301EF0"/>
    <w:rsid w:val="00302F5E"/>
    <w:rsid w:val="003032C4"/>
    <w:rsid w:val="003037B4"/>
    <w:rsid w:val="00304251"/>
    <w:rsid w:val="00307499"/>
    <w:rsid w:val="00310100"/>
    <w:rsid w:val="00311B88"/>
    <w:rsid w:val="00312763"/>
    <w:rsid w:val="00312795"/>
    <w:rsid w:val="003157E8"/>
    <w:rsid w:val="003172DC"/>
    <w:rsid w:val="003210D0"/>
    <w:rsid w:val="00325679"/>
    <w:rsid w:val="00327EEA"/>
    <w:rsid w:val="003342F6"/>
    <w:rsid w:val="00334938"/>
    <w:rsid w:val="00336A88"/>
    <w:rsid w:val="00336BAD"/>
    <w:rsid w:val="00342F23"/>
    <w:rsid w:val="003435AC"/>
    <w:rsid w:val="00345700"/>
    <w:rsid w:val="00345E42"/>
    <w:rsid w:val="00350D67"/>
    <w:rsid w:val="00350E5F"/>
    <w:rsid w:val="00354B75"/>
    <w:rsid w:val="00355F1D"/>
    <w:rsid w:val="00356777"/>
    <w:rsid w:val="00357196"/>
    <w:rsid w:val="00357AE8"/>
    <w:rsid w:val="00357C76"/>
    <w:rsid w:val="00366652"/>
    <w:rsid w:val="00367E80"/>
    <w:rsid w:val="00370A33"/>
    <w:rsid w:val="00374849"/>
    <w:rsid w:val="00375FBA"/>
    <w:rsid w:val="003760BD"/>
    <w:rsid w:val="00376445"/>
    <w:rsid w:val="00377AAC"/>
    <w:rsid w:val="00381A93"/>
    <w:rsid w:val="00386563"/>
    <w:rsid w:val="00386C24"/>
    <w:rsid w:val="0039031B"/>
    <w:rsid w:val="0039184E"/>
    <w:rsid w:val="0039259C"/>
    <w:rsid w:val="00393E1B"/>
    <w:rsid w:val="00397624"/>
    <w:rsid w:val="003979D9"/>
    <w:rsid w:val="003A1423"/>
    <w:rsid w:val="003A1C01"/>
    <w:rsid w:val="003A3234"/>
    <w:rsid w:val="003A52D7"/>
    <w:rsid w:val="003B0FF2"/>
    <w:rsid w:val="003B134C"/>
    <w:rsid w:val="003B38E2"/>
    <w:rsid w:val="003C1971"/>
    <w:rsid w:val="003C268C"/>
    <w:rsid w:val="003C32CE"/>
    <w:rsid w:val="003C3A4A"/>
    <w:rsid w:val="003D23FB"/>
    <w:rsid w:val="003D2C3E"/>
    <w:rsid w:val="003D66BE"/>
    <w:rsid w:val="003D7AE1"/>
    <w:rsid w:val="003E08A6"/>
    <w:rsid w:val="003E300C"/>
    <w:rsid w:val="003E335E"/>
    <w:rsid w:val="003E34FC"/>
    <w:rsid w:val="003E3D40"/>
    <w:rsid w:val="003E441D"/>
    <w:rsid w:val="003E4868"/>
    <w:rsid w:val="003E5546"/>
    <w:rsid w:val="003F11FE"/>
    <w:rsid w:val="0040024D"/>
    <w:rsid w:val="0040076D"/>
    <w:rsid w:val="0040308F"/>
    <w:rsid w:val="004032F1"/>
    <w:rsid w:val="00404811"/>
    <w:rsid w:val="004053AA"/>
    <w:rsid w:val="004107C9"/>
    <w:rsid w:val="00410F0D"/>
    <w:rsid w:val="00412177"/>
    <w:rsid w:val="00413512"/>
    <w:rsid w:val="004155CA"/>
    <w:rsid w:val="00416DB4"/>
    <w:rsid w:val="00416FA0"/>
    <w:rsid w:val="00421A0B"/>
    <w:rsid w:val="00421BD1"/>
    <w:rsid w:val="004252E5"/>
    <w:rsid w:val="00425B98"/>
    <w:rsid w:val="00426090"/>
    <w:rsid w:val="00434101"/>
    <w:rsid w:val="00434500"/>
    <w:rsid w:val="00435A86"/>
    <w:rsid w:val="00436257"/>
    <w:rsid w:val="004406F8"/>
    <w:rsid w:val="004407FF"/>
    <w:rsid w:val="00441E95"/>
    <w:rsid w:val="00443E40"/>
    <w:rsid w:val="004467E0"/>
    <w:rsid w:val="00446C02"/>
    <w:rsid w:val="00452F8F"/>
    <w:rsid w:val="00455CE9"/>
    <w:rsid w:val="004578A4"/>
    <w:rsid w:val="00457EEE"/>
    <w:rsid w:val="0046282C"/>
    <w:rsid w:val="004631A3"/>
    <w:rsid w:val="00463B13"/>
    <w:rsid w:val="004653AB"/>
    <w:rsid w:val="004663BF"/>
    <w:rsid w:val="004669DD"/>
    <w:rsid w:val="00466C62"/>
    <w:rsid w:val="00467792"/>
    <w:rsid w:val="00470F76"/>
    <w:rsid w:val="004752DA"/>
    <w:rsid w:val="00476D1D"/>
    <w:rsid w:val="004809B9"/>
    <w:rsid w:val="00480C7D"/>
    <w:rsid w:val="004810B1"/>
    <w:rsid w:val="00481674"/>
    <w:rsid w:val="004829C8"/>
    <w:rsid w:val="00483035"/>
    <w:rsid w:val="0048320C"/>
    <w:rsid w:val="0048382F"/>
    <w:rsid w:val="00484B23"/>
    <w:rsid w:val="00484FE4"/>
    <w:rsid w:val="00486877"/>
    <w:rsid w:val="00487746"/>
    <w:rsid w:val="004941D7"/>
    <w:rsid w:val="00494FE7"/>
    <w:rsid w:val="00495DD9"/>
    <w:rsid w:val="0049725B"/>
    <w:rsid w:val="004A0AE8"/>
    <w:rsid w:val="004A3E46"/>
    <w:rsid w:val="004A5E0B"/>
    <w:rsid w:val="004A6BA5"/>
    <w:rsid w:val="004B0ACA"/>
    <w:rsid w:val="004B1500"/>
    <w:rsid w:val="004B28CC"/>
    <w:rsid w:val="004B378D"/>
    <w:rsid w:val="004B554B"/>
    <w:rsid w:val="004B57D1"/>
    <w:rsid w:val="004B65DE"/>
    <w:rsid w:val="004B72A6"/>
    <w:rsid w:val="004B7910"/>
    <w:rsid w:val="004B7B99"/>
    <w:rsid w:val="004C37A1"/>
    <w:rsid w:val="004C62D2"/>
    <w:rsid w:val="004C7398"/>
    <w:rsid w:val="004D0FB5"/>
    <w:rsid w:val="004E1366"/>
    <w:rsid w:val="004F0D04"/>
    <w:rsid w:val="004F1980"/>
    <w:rsid w:val="005028DD"/>
    <w:rsid w:val="005035F1"/>
    <w:rsid w:val="005065C4"/>
    <w:rsid w:val="005073A7"/>
    <w:rsid w:val="0051067B"/>
    <w:rsid w:val="00511C6E"/>
    <w:rsid w:val="00512355"/>
    <w:rsid w:val="005132CC"/>
    <w:rsid w:val="00513637"/>
    <w:rsid w:val="00514D10"/>
    <w:rsid w:val="005170C4"/>
    <w:rsid w:val="005278E1"/>
    <w:rsid w:val="00527CC7"/>
    <w:rsid w:val="00530166"/>
    <w:rsid w:val="00531673"/>
    <w:rsid w:val="00536E4E"/>
    <w:rsid w:val="0054215C"/>
    <w:rsid w:val="005435EB"/>
    <w:rsid w:val="00544E10"/>
    <w:rsid w:val="00545927"/>
    <w:rsid w:val="005510C4"/>
    <w:rsid w:val="0055240C"/>
    <w:rsid w:val="00556D64"/>
    <w:rsid w:val="00561464"/>
    <w:rsid w:val="00561CDD"/>
    <w:rsid w:val="00565D64"/>
    <w:rsid w:val="00567DE3"/>
    <w:rsid w:val="00571D26"/>
    <w:rsid w:val="00575928"/>
    <w:rsid w:val="00580D69"/>
    <w:rsid w:val="00582E6D"/>
    <w:rsid w:val="0058304B"/>
    <w:rsid w:val="00584E4A"/>
    <w:rsid w:val="00585BCB"/>
    <w:rsid w:val="00586081"/>
    <w:rsid w:val="00587B55"/>
    <w:rsid w:val="005907BA"/>
    <w:rsid w:val="005915DC"/>
    <w:rsid w:val="00592784"/>
    <w:rsid w:val="00592C10"/>
    <w:rsid w:val="00593EA9"/>
    <w:rsid w:val="00595611"/>
    <w:rsid w:val="005A1E29"/>
    <w:rsid w:val="005A330D"/>
    <w:rsid w:val="005A4829"/>
    <w:rsid w:val="005A48FA"/>
    <w:rsid w:val="005A5058"/>
    <w:rsid w:val="005A5A39"/>
    <w:rsid w:val="005B1BF3"/>
    <w:rsid w:val="005B5C6F"/>
    <w:rsid w:val="005B6EC8"/>
    <w:rsid w:val="005C10DE"/>
    <w:rsid w:val="005C2FE8"/>
    <w:rsid w:val="005C392B"/>
    <w:rsid w:val="005C41EE"/>
    <w:rsid w:val="005C4579"/>
    <w:rsid w:val="005C4791"/>
    <w:rsid w:val="005C4E9B"/>
    <w:rsid w:val="005C6AAF"/>
    <w:rsid w:val="005C732E"/>
    <w:rsid w:val="005D1A81"/>
    <w:rsid w:val="005D2B37"/>
    <w:rsid w:val="005D44EE"/>
    <w:rsid w:val="005D55F1"/>
    <w:rsid w:val="005D6564"/>
    <w:rsid w:val="005D7345"/>
    <w:rsid w:val="005D738E"/>
    <w:rsid w:val="005E1808"/>
    <w:rsid w:val="005E32FD"/>
    <w:rsid w:val="005E5DED"/>
    <w:rsid w:val="005E7BF6"/>
    <w:rsid w:val="005F15BC"/>
    <w:rsid w:val="005F30C4"/>
    <w:rsid w:val="005F3CAD"/>
    <w:rsid w:val="005F52E7"/>
    <w:rsid w:val="005F5473"/>
    <w:rsid w:val="006054E7"/>
    <w:rsid w:val="006061B8"/>
    <w:rsid w:val="00607B50"/>
    <w:rsid w:val="006135C9"/>
    <w:rsid w:val="006138D0"/>
    <w:rsid w:val="00614EBE"/>
    <w:rsid w:val="00617D22"/>
    <w:rsid w:val="0062285B"/>
    <w:rsid w:val="00624839"/>
    <w:rsid w:val="00624E7E"/>
    <w:rsid w:val="006253E0"/>
    <w:rsid w:val="0062575F"/>
    <w:rsid w:val="006262E7"/>
    <w:rsid w:val="006274E0"/>
    <w:rsid w:val="006354BC"/>
    <w:rsid w:val="00635EC6"/>
    <w:rsid w:val="00635FAE"/>
    <w:rsid w:val="006371AC"/>
    <w:rsid w:val="00637B87"/>
    <w:rsid w:val="00637DF1"/>
    <w:rsid w:val="006446FC"/>
    <w:rsid w:val="00644981"/>
    <w:rsid w:val="00645434"/>
    <w:rsid w:val="00647BCB"/>
    <w:rsid w:val="00650281"/>
    <w:rsid w:val="00653247"/>
    <w:rsid w:val="00653FDF"/>
    <w:rsid w:val="006542C7"/>
    <w:rsid w:val="0065592C"/>
    <w:rsid w:val="00656395"/>
    <w:rsid w:val="00657D67"/>
    <w:rsid w:val="00660631"/>
    <w:rsid w:val="00661DFE"/>
    <w:rsid w:val="00662296"/>
    <w:rsid w:val="0066660A"/>
    <w:rsid w:val="00672046"/>
    <w:rsid w:val="00673DA7"/>
    <w:rsid w:val="00673FE0"/>
    <w:rsid w:val="00676731"/>
    <w:rsid w:val="0068283F"/>
    <w:rsid w:val="006833B4"/>
    <w:rsid w:val="006849CB"/>
    <w:rsid w:val="006907F7"/>
    <w:rsid w:val="0069125E"/>
    <w:rsid w:val="0069164B"/>
    <w:rsid w:val="00695143"/>
    <w:rsid w:val="006A11DF"/>
    <w:rsid w:val="006A3371"/>
    <w:rsid w:val="006A35F5"/>
    <w:rsid w:val="006A593D"/>
    <w:rsid w:val="006A6628"/>
    <w:rsid w:val="006B2D19"/>
    <w:rsid w:val="006B5647"/>
    <w:rsid w:val="006B71C9"/>
    <w:rsid w:val="006C0B5D"/>
    <w:rsid w:val="006C788E"/>
    <w:rsid w:val="006D07D3"/>
    <w:rsid w:val="006D4F36"/>
    <w:rsid w:val="006D5EEA"/>
    <w:rsid w:val="006E028F"/>
    <w:rsid w:val="006E2522"/>
    <w:rsid w:val="006E3A32"/>
    <w:rsid w:val="006E60E6"/>
    <w:rsid w:val="006E696E"/>
    <w:rsid w:val="006F4E19"/>
    <w:rsid w:val="006F50CD"/>
    <w:rsid w:val="00700CEA"/>
    <w:rsid w:val="007039C5"/>
    <w:rsid w:val="007054F9"/>
    <w:rsid w:val="00707CC1"/>
    <w:rsid w:val="00710BFA"/>
    <w:rsid w:val="00710E11"/>
    <w:rsid w:val="00712792"/>
    <w:rsid w:val="00715F1B"/>
    <w:rsid w:val="0072205E"/>
    <w:rsid w:val="007230B9"/>
    <w:rsid w:val="00723973"/>
    <w:rsid w:val="007245FA"/>
    <w:rsid w:val="007247E4"/>
    <w:rsid w:val="007260BB"/>
    <w:rsid w:val="00730989"/>
    <w:rsid w:val="00730CEF"/>
    <w:rsid w:val="00731781"/>
    <w:rsid w:val="00732484"/>
    <w:rsid w:val="0073249D"/>
    <w:rsid w:val="00732C8D"/>
    <w:rsid w:val="00732DBA"/>
    <w:rsid w:val="00734176"/>
    <w:rsid w:val="00740FC1"/>
    <w:rsid w:val="0074153B"/>
    <w:rsid w:val="00741CA0"/>
    <w:rsid w:val="007420FC"/>
    <w:rsid w:val="0074495A"/>
    <w:rsid w:val="00744BC4"/>
    <w:rsid w:val="00745CB4"/>
    <w:rsid w:val="007471A1"/>
    <w:rsid w:val="0075052E"/>
    <w:rsid w:val="00750B3B"/>
    <w:rsid w:val="00751690"/>
    <w:rsid w:val="00755F95"/>
    <w:rsid w:val="00756487"/>
    <w:rsid w:val="00757713"/>
    <w:rsid w:val="00757D8E"/>
    <w:rsid w:val="00761345"/>
    <w:rsid w:val="00761449"/>
    <w:rsid w:val="00771EEB"/>
    <w:rsid w:val="007721B8"/>
    <w:rsid w:val="00773637"/>
    <w:rsid w:val="0077421F"/>
    <w:rsid w:val="007754B3"/>
    <w:rsid w:val="00782611"/>
    <w:rsid w:val="00782BC4"/>
    <w:rsid w:val="00783290"/>
    <w:rsid w:val="00791631"/>
    <w:rsid w:val="0079252B"/>
    <w:rsid w:val="007925D4"/>
    <w:rsid w:val="00792ADF"/>
    <w:rsid w:val="00794F29"/>
    <w:rsid w:val="0079672C"/>
    <w:rsid w:val="007A3665"/>
    <w:rsid w:val="007A7433"/>
    <w:rsid w:val="007A780D"/>
    <w:rsid w:val="007B0965"/>
    <w:rsid w:val="007B2C38"/>
    <w:rsid w:val="007B4064"/>
    <w:rsid w:val="007B5959"/>
    <w:rsid w:val="007B5B5F"/>
    <w:rsid w:val="007B5C94"/>
    <w:rsid w:val="007B5E87"/>
    <w:rsid w:val="007B7B74"/>
    <w:rsid w:val="007C19BD"/>
    <w:rsid w:val="007C1EF5"/>
    <w:rsid w:val="007C5AF5"/>
    <w:rsid w:val="007D192A"/>
    <w:rsid w:val="007D3236"/>
    <w:rsid w:val="007D357D"/>
    <w:rsid w:val="007D43E1"/>
    <w:rsid w:val="007D75C7"/>
    <w:rsid w:val="007E1CDE"/>
    <w:rsid w:val="007E3F0C"/>
    <w:rsid w:val="007E5978"/>
    <w:rsid w:val="007E75E9"/>
    <w:rsid w:val="007F12A0"/>
    <w:rsid w:val="007F15B3"/>
    <w:rsid w:val="007F3520"/>
    <w:rsid w:val="007F6802"/>
    <w:rsid w:val="0080009C"/>
    <w:rsid w:val="008025C9"/>
    <w:rsid w:val="008039C4"/>
    <w:rsid w:val="00803B8C"/>
    <w:rsid w:val="00803F13"/>
    <w:rsid w:val="0080422B"/>
    <w:rsid w:val="00806577"/>
    <w:rsid w:val="0081094B"/>
    <w:rsid w:val="0081120D"/>
    <w:rsid w:val="00811E60"/>
    <w:rsid w:val="00812B46"/>
    <w:rsid w:val="008137E8"/>
    <w:rsid w:val="0081527E"/>
    <w:rsid w:val="00821321"/>
    <w:rsid w:val="00822D35"/>
    <w:rsid w:val="0082340D"/>
    <w:rsid w:val="00824F1E"/>
    <w:rsid w:val="00827DC0"/>
    <w:rsid w:val="00830FE8"/>
    <w:rsid w:val="00831A76"/>
    <w:rsid w:val="008328A7"/>
    <w:rsid w:val="008334DD"/>
    <w:rsid w:val="0083484D"/>
    <w:rsid w:val="00834908"/>
    <w:rsid w:val="008373DA"/>
    <w:rsid w:val="00837A93"/>
    <w:rsid w:val="00841174"/>
    <w:rsid w:val="00842E02"/>
    <w:rsid w:val="0084379C"/>
    <w:rsid w:val="008440D0"/>
    <w:rsid w:val="00844B93"/>
    <w:rsid w:val="00845861"/>
    <w:rsid w:val="00846FAC"/>
    <w:rsid w:val="00847279"/>
    <w:rsid w:val="00847678"/>
    <w:rsid w:val="00850379"/>
    <w:rsid w:val="00850D8C"/>
    <w:rsid w:val="00851BBF"/>
    <w:rsid w:val="00856F0A"/>
    <w:rsid w:val="00857AB1"/>
    <w:rsid w:val="00857C4F"/>
    <w:rsid w:val="00860CA4"/>
    <w:rsid w:val="00870AC2"/>
    <w:rsid w:val="00872C12"/>
    <w:rsid w:val="0087359E"/>
    <w:rsid w:val="00874A26"/>
    <w:rsid w:val="008779FF"/>
    <w:rsid w:val="00877D54"/>
    <w:rsid w:val="00882977"/>
    <w:rsid w:val="00885916"/>
    <w:rsid w:val="00885D4E"/>
    <w:rsid w:val="00886B55"/>
    <w:rsid w:val="0089254A"/>
    <w:rsid w:val="008928ED"/>
    <w:rsid w:val="00892D11"/>
    <w:rsid w:val="00893BD2"/>
    <w:rsid w:val="00894D26"/>
    <w:rsid w:val="00895403"/>
    <w:rsid w:val="008974AE"/>
    <w:rsid w:val="008A38BD"/>
    <w:rsid w:val="008A4A6C"/>
    <w:rsid w:val="008A4AB8"/>
    <w:rsid w:val="008A5081"/>
    <w:rsid w:val="008B1051"/>
    <w:rsid w:val="008B2403"/>
    <w:rsid w:val="008B47D2"/>
    <w:rsid w:val="008C7AE5"/>
    <w:rsid w:val="008D1295"/>
    <w:rsid w:val="008D6D17"/>
    <w:rsid w:val="008E02F2"/>
    <w:rsid w:val="008E285C"/>
    <w:rsid w:val="008E3807"/>
    <w:rsid w:val="008E4282"/>
    <w:rsid w:val="008E74EC"/>
    <w:rsid w:val="008E791B"/>
    <w:rsid w:val="008E79D2"/>
    <w:rsid w:val="008F0C1F"/>
    <w:rsid w:val="008F3A79"/>
    <w:rsid w:val="008F4016"/>
    <w:rsid w:val="008F53EE"/>
    <w:rsid w:val="008F5948"/>
    <w:rsid w:val="008F5C5E"/>
    <w:rsid w:val="008F6437"/>
    <w:rsid w:val="008F7DA3"/>
    <w:rsid w:val="00900462"/>
    <w:rsid w:val="0090465D"/>
    <w:rsid w:val="00904EB8"/>
    <w:rsid w:val="00905426"/>
    <w:rsid w:val="009063BA"/>
    <w:rsid w:val="0090703A"/>
    <w:rsid w:val="00907B7A"/>
    <w:rsid w:val="00911A2C"/>
    <w:rsid w:val="00912596"/>
    <w:rsid w:val="0092011B"/>
    <w:rsid w:val="009216DA"/>
    <w:rsid w:val="00923B6A"/>
    <w:rsid w:val="00925720"/>
    <w:rsid w:val="00927166"/>
    <w:rsid w:val="00930A2A"/>
    <w:rsid w:val="00934F15"/>
    <w:rsid w:val="0093672A"/>
    <w:rsid w:val="00936B45"/>
    <w:rsid w:val="00942412"/>
    <w:rsid w:val="00945C0B"/>
    <w:rsid w:val="00946099"/>
    <w:rsid w:val="009516B9"/>
    <w:rsid w:val="009520D0"/>
    <w:rsid w:val="009606A4"/>
    <w:rsid w:val="00962F55"/>
    <w:rsid w:val="00964AD4"/>
    <w:rsid w:val="0096687F"/>
    <w:rsid w:val="009707BD"/>
    <w:rsid w:val="00970D01"/>
    <w:rsid w:val="00970EA6"/>
    <w:rsid w:val="00971E07"/>
    <w:rsid w:val="00976EA2"/>
    <w:rsid w:val="00980FC7"/>
    <w:rsid w:val="00983552"/>
    <w:rsid w:val="009866D4"/>
    <w:rsid w:val="00986820"/>
    <w:rsid w:val="009878D6"/>
    <w:rsid w:val="0099106C"/>
    <w:rsid w:val="00991933"/>
    <w:rsid w:val="00992D1C"/>
    <w:rsid w:val="00992E63"/>
    <w:rsid w:val="0099368B"/>
    <w:rsid w:val="00993978"/>
    <w:rsid w:val="00993DBE"/>
    <w:rsid w:val="009942CC"/>
    <w:rsid w:val="0099654F"/>
    <w:rsid w:val="00996610"/>
    <w:rsid w:val="009A0689"/>
    <w:rsid w:val="009A07B4"/>
    <w:rsid w:val="009A1360"/>
    <w:rsid w:val="009A28A5"/>
    <w:rsid w:val="009A38B3"/>
    <w:rsid w:val="009A63A8"/>
    <w:rsid w:val="009A67E7"/>
    <w:rsid w:val="009A71FC"/>
    <w:rsid w:val="009A7D64"/>
    <w:rsid w:val="009B4502"/>
    <w:rsid w:val="009B71CF"/>
    <w:rsid w:val="009B77C6"/>
    <w:rsid w:val="009C1C7A"/>
    <w:rsid w:val="009D000B"/>
    <w:rsid w:val="009D7D4A"/>
    <w:rsid w:val="009E15D7"/>
    <w:rsid w:val="009E4197"/>
    <w:rsid w:val="009E4671"/>
    <w:rsid w:val="009E5A5C"/>
    <w:rsid w:val="009E5D5C"/>
    <w:rsid w:val="009E69C1"/>
    <w:rsid w:val="009E74C9"/>
    <w:rsid w:val="009F056B"/>
    <w:rsid w:val="009F2FDC"/>
    <w:rsid w:val="009F310D"/>
    <w:rsid w:val="00A0005D"/>
    <w:rsid w:val="00A06B93"/>
    <w:rsid w:val="00A11B8E"/>
    <w:rsid w:val="00A1223D"/>
    <w:rsid w:val="00A14AE2"/>
    <w:rsid w:val="00A159C5"/>
    <w:rsid w:val="00A171AD"/>
    <w:rsid w:val="00A23B57"/>
    <w:rsid w:val="00A3152A"/>
    <w:rsid w:val="00A3213C"/>
    <w:rsid w:val="00A323CE"/>
    <w:rsid w:val="00A331FB"/>
    <w:rsid w:val="00A41EC2"/>
    <w:rsid w:val="00A42682"/>
    <w:rsid w:val="00A4376D"/>
    <w:rsid w:val="00A45DB5"/>
    <w:rsid w:val="00A50875"/>
    <w:rsid w:val="00A509C2"/>
    <w:rsid w:val="00A51A2F"/>
    <w:rsid w:val="00A51FEA"/>
    <w:rsid w:val="00A53352"/>
    <w:rsid w:val="00A535D0"/>
    <w:rsid w:val="00A540F6"/>
    <w:rsid w:val="00A5522C"/>
    <w:rsid w:val="00A566AE"/>
    <w:rsid w:val="00A63850"/>
    <w:rsid w:val="00A719C5"/>
    <w:rsid w:val="00A75026"/>
    <w:rsid w:val="00A75E05"/>
    <w:rsid w:val="00A80FDB"/>
    <w:rsid w:val="00A81902"/>
    <w:rsid w:val="00A827D5"/>
    <w:rsid w:val="00A845F4"/>
    <w:rsid w:val="00A84EB0"/>
    <w:rsid w:val="00A85244"/>
    <w:rsid w:val="00A909BC"/>
    <w:rsid w:val="00A91536"/>
    <w:rsid w:val="00A920FA"/>
    <w:rsid w:val="00A92859"/>
    <w:rsid w:val="00A94832"/>
    <w:rsid w:val="00A97D67"/>
    <w:rsid w:val="00AA049B"/>
    <w:rsid w:val="00AA1F3D"/>
    <w:rsid w:val="00AA2434"/>
    <w:rsid w:val="00AA61A3"/>
    <w:rsid w:val="00AA6244"/>
    <w:rsid w:val="00AA6568"/>
    <w:rsid w:val="00AA6EA0"/>
    <w:rsid w:val="00AB01FD"/>
    <w:rsid w:val="00AB217D"/>
    <w:rsid w:val="00AB3AE9"/>
    <w:rsid w:val="00AB4F89"/>
    <w:rsid w:val="00AB521F"/>
    <w:rsid w:val="00AB579F"/>
    <w:rsid w:val="00AC1810"/>
    <w:rsid w:val="00AC577E"/>
    <w:rsid w:val="00AC709A"/>
    <w:rsid w:val="00AD1D12"/>
    <w:rsid w:val="00AD380B"/>
    <w:rsid w:val="00AD486C"/>
    <w:rsid w:val="00AD4BC4"/>
    <w:rsid w:val="00AD5DF2"/>
    <w:rsid w:val="00AD748A"/>
    <w:rsid w:val="00AD7E1E"/>
    <w:rsid w:val="00AE2047"/>
    <w:rsid w:val="00AE36D8"/>
    <w:rsid w:val="00AE4D48"/>
    <w:rsid w:val="00AE5C8F"/>
    <w:rsid w:val="00AF32BB"/>
    <w:rsid w:val="00AF50B1"/>
    <w:rsid w:val="00AF68F7"/>
    <w:rsid w:val="00AF7FD2"/>
    <w:rsid w:val="00B038C6"/>
    <w:rsid w:val="00B071F5"/>
    <w:rsid w:val="00B07BA8"/>
    <w:rsid w:val="00B07D1F"/>
    <w:rsid w:val="00B07F51"/>
    <w:rsid w:val="00B12915"/>
    <w:rsid w:val="00B2024A"/>
    <w:rsid w:val="00B227E3"/>
    <w:rsid w:val="00B23D71"/>
    <w:rsid w:val="00B23DDA"/>
    <w:rsid w:val="00B2664A"/>
    <w:rsid w:val="00B32E1D"/>
    <w:rsid w:val="00B3420A"/>
    <w:rsid w:val="00B3648B"/>
    <w:rsid w:val="00B36C9C"/>
    <w:rsid w:val="00B40847"/>
    <w:rsid w:val="00B41B59"/>
    <w:rsid w:val="00B42412"/>
    <w:rsid w:val="00B42B96"/>
    <w:rsid w:val="00B455D7"/>
    <w:rsid w:val="00B50F5E"/>
    <w:rsid w:val="00B510D9"/>
    <w:rsid w:val="00B5326B"/>
    <w:rsid w:val="00B540AB"/>
    <w:rsid w:val="00B55A8A"/>
    <w:rsid w:val="00B55FC4"/>
    <w:rsid w:val="00B56444"/>
    <w:rsid w:val="00B56D53"/>
    <w:rsid w:val="00B57165"/>
    <w:rsid w:val="00B57A32"/>
    <w:rsid w:val="00B62EEC"/>
    <w:rsid w:val="00B63BA2"/>
    <w:rsid w:val="00B64117"/>
    <w:rsid w:val="00B64695"/>
    <w:rsid w:val="00B67EA3"/>
    <w:rsid w:val="00B7018E"/>
    <w:rsid w:val="00B705C2"/>
    <w:rsid w:val="00B70EB2"/>
    <w:rsid w:val="00B71AA0"/>
    <w:rsid w:val="00B749EC"/>
    <w:rsid w:val="00B821FE"/>
    <w:rsid w:val="00B83D2C"/>
    <w:rsid w:val="00B8777E"/>
    <w:rsid w:val="00B930AC"/>
    <w:rsid w:val="00B959BA"/>
    <w:rsid w:val="00B96499"/>
    <w:rsid w:val="00B967C0"/>
    <w:rsid w:val="00BA0721"/>
    <w:rsid w:val="00BA07D0"/>
    <w:rsid w:val="00BA0D25"/>
    <w:rsid w:val="00BA128E"/>
    <w:rsid w:val="00BA1743"/>
    <w:rsid w:val="00BA1E98"/>
    <w:rsid w:val="00BA2029"/>
    <w:rsid w:val="00BA4224"/>
    <w:rsid w:val="00BB159A"/>
    <w:rsid w:val="00BB2508"/>
    <w:rsid w:val="00BB394D"/>
    <w:rsid w:val="00BC006C"/>
    <w:rsid w:val="00BC20D0"/>
    <w:rsid w:val="00BC3F5A"/>
    <w:rsid w:val="00BC4845"/>
    <w:rsid w:val="00BC548E"/>
    <w:rsid w:val="00BC6644"/>
    <w:rsid w:val="00BC6DB1"/>
    <w:rsid w:val="00BD1C7C"/>
    <w:rsid w:val="00BD236C"/>
    <w:rsid w:val="00BD4E15"/>
    <w:rsid w:val="00BD519E"/>
    <w:rsid w:val="00BD538A"/>
    <w:rsid w:val="00BD57AB"/>
    <w:rsid w:val="00BD5957"/>
    <w:rsid w:val="00BD6D62"/>
    <w:rsid w:val="00BD7181"/>
    <w:rsid w:val="00BE24DC"/>
    <w:rsid w:val="00BE6C3C"/>
    <w:rsid w:val="00BF0584"/>
    <w:rsid w:val="00BF114E"/>
    <w:rsid w:val="00BF3C46"/>
    <w:rsid w:val="00C02213"/>
    <w:rsid w:val="00C03828"/>
    <w:rsid w:val="00C05EB2"/>
    <w:rsid w:val="00C11D3A"/>
    <w:rsid w:val="00C12F4F"/>
    <w:rsid w:val="00C14C2D"/>
    <w:rsid w:val="00C17628"/>
    <w:rsid w:val="00C22488"/>
    <w:rsid w:val="00C2392A"/>
    <w:rsid w:val="00C245BA"/>
    <w:rsid w:val="00C25B9D"/>
    <w:rsid w:val="00C26B5A"/>
    <w:rsid w:val="00C306DD"/>
    <w:rsid w:val="00C311C4"/>
    <w:rsid w:val="00C321DB"/>
    <w:rsid w:val="00C323B2"/>
    <w:rsid w:val="00C34456"/>
    <w:rsid w:val="00C42A7F"/>
    <w:rsid w:val="00C4487E"/>
    <w:rsid w:val="00C448D7"/>
    <w:rsid w:val="00C467B7"/>
    <w:rsid w:val="00C46AA8"/>
    <w:rsid w:val="00C47D24"/>
    <w:rsid w:val="00C52E4D"/>
    <w:rsid w:val="00C53EA6"/>
    <w:rsid w:val="00C53FE6"/>
    <w:rsid w:val="00C55773"/>
    <w:rsid w:val="00C608DD"/>
    <w:rsid w:val="00C645B8"/>
    <w:rsid w:val="00C65101"/>
    <w:rsid w:val="00C654E3"/>
    <w:rsid w:val="00C65BF4"/>
    <w:rsid w:val="00C67625"/>
    <w:rsid w:val="00C67BA2"/>
    <w:rsid w:val="00C708D4"/>
    <w:rsid w:val="00C717B5"/>
    <w:rsid w:val="00C736A7"/>
    <w:rsid w:val="00C7383A"/>
    <w:rsid w:val="00C77D9B"/>
    <w:rsid w:val="00C805D1"/>
    <w:rsid w:val="00C872AD"/>
    <w:rsid w:val="00C8745B"/>
    <w:rsid w:val="00C90783"/>
    <w:rsid w:val="00C9107F"/>
    <w:rsid w:val="00C9416B"/>
    <w:rsid w:val="00C94275"/>
    <w:rsid w:val="00C94718"/>
    <w:rsid w:val="00C953D0"/>
    <w:rsid w:val="00C960FE"/>
    <w:rsid w:val="00C97B08"/>
    <w:rsid w:val="00CA1FB9"/>
    <w:rsid w:val="00CA3738"/>
    <w:rsid w:val="00CA6402"/>
    <w:rsid w:val="00CA7889"/>
    <w:rsid w:val="00CB136C"/>
    <w:rsid w:val="00CB60CC"/>
    <w:rsid w:val="00CB642C"/>
    <w:rsid w:val="00CC0184"/>
    <w:rsid w:val="00CC20A0"/>
    <w:rsid w:val="00CC28A0"/>
    <w:rsid w:val="00CC3795"/>
    <w:rsid w:val="00CC51FA"/>
    <w:rsid w:val="00CC6A69"/>
    <w:rsid w:val="00CC6D65"/>
    <w:rsid w:val="00CD604F"/>
    <w:rsid w:val="00CD7C7E"/>
    <w:rsid w:val="00CD7D6F"/>
    <w:rsid w:val="00CE1B2A"/>
    <w:rsid w:val="00CE586B"/>
    <w:rsid w:val="00CE5DC9"/>
    <w:rsid w:val="00CE6377"/>
    <w:rsid w:val="00CE6F59"/>
    <w:rsid w:val="00CF208C"/>
    <w:rsid w:val="00CF2E22"/>
    <w:rsid w:val="00CF6F9B"/>
    <w:rsid w:val="00CF7837"/>
    <w:rsid w:val="00D01167"/>
    <w:rsid w:val="00D0213A"/>
    <w:rsid w:val="00D04253"/>
    <w:rsid w:val="00D04AF2"/>
    <w:rsid w:val="00D0501C"/>
    <w:rsid w:val="00D06B48"/>
    <w:rsid w:val="00D0737C"/>
    <w:rsid w:val="00D15E4D"/>
    <w:rsid w:val="00D163C0"/>
    <w:rsid w:val="00D1702D"/>
    <w:rsid w:val="00D17F01"/>
    <w:rsid w:val="00D208F0"/>
    <w:rsid w:val="00D2154B"/>
    <w:rsid w:val="00D23B9D"/>
    <w:rsid w:val="00D24881"/>
    <w:rsid w:val="00D250E3"/>
    <w:rsid w:val="00D260C4"/>
    <w:rsid w:val="00D270D0"/>
    <w:rsid w:val="00D3040F"/>
    <w:rsid w:val="00D30B11"/>
    <w:rsid w:val="00D33BDA"/>
    <w:rsid w:val="00D365A4"/>
    <w:rsid w:val="00D411A8"/>
    <w:rsid w:val="00D42047"/>
    <w:rsid w:val="00D43110"/>
    <w:rsid w:val="00D44F29"/>
    <w:rsid w:val="00D465B3"/>
    <w:rsid w:val="00D512FF"/>
    <w:rsid w:val="00D51CE7"/>
    <w:rsid w:val="00D52412"/>
    <w:rsid w:val="00D53058"/>
    <w:rsid w:val="00D5348C"/>
    <w:rsid w:val="00D543AD"/>
    <w:rsid w:val="00D5619C"/>
    <w:rsid w:val="00D6118D"/>
    <w:rsid w:val="00D6331C"/>
    <w:rsid w:val="00D63EEA"/>
    <w:rsid w:val="00D6665B"/>
    <w:rsid w:val="00D66F2D"/>
    <w:rsid w:val="00D670A4"/>
    <w:rsid w:val="00D672B0"/>
    <w:rsid w:val="00D71462"/>
    <w:rsid w:val="00D71DCE"/>
    <w:rsid w:val="00D7280A"/>
    <w:rsid w:val="00D75221"/>
    <w:rsid w:val="00D7562B"/>
    <w:rsid w:val="00D75B10"/>
    <w:rsid w:val="00D808A9"/>
    <w:rsid w:val="00D8292B"/>
    <w:rsid w:val="00D90913"/>
    <w:rsid w:val="00D92923"/>
    <w:rsid w:val="00D948C8"/>
    <w:rsid w:val="00D97FBB"/>
    <w:rsid w:val="00DA2B99"/>
    <w:rsid w:val="00DA3A2F"/>
    <w:rsid w:val="00DA5213"/>
    <w:rsid w:val="00DA52C9"/>
    <w:rsid w:val="00DA6646"/>
    <w:rsid w:val="00DB09DF"/>
    <w:rsid w:val="00DB27DF"/>
    <w:rsid w:val="00DB28D0"/>
    <w:rsid w:val="00DB34C9"/>
    <w:rsid w:val="00DB3C6D"/>
    <w:rsid w:val="00DB6D7D"/>
    <w:rsid w:val="00DC3D0C"/>
    <w:rsid w:val="00DC4AC6"/>
    <w:rsid w:val="00DC55D9"/>
    <w:rsid w:val="00DC72A0"/>
    <w:rsid w:val="00DD04B3"/>
    <w:rsid w:val="00DD322A"/>
    <w:rsid w:val="00DD3849"/>
    <w:rsid w:val="00DD38E2"/>
    <w:rsid w:val="00DD440E"/>
    <w:rsid w:val="00DE2D81"/>
    <w:rsid w:val="00DE4729"/>
    <w:rsid w:val="00DE47CD"/>
    <w:rsid w:val="00DE6056"/>
    <w:rsid w:val="00DF1264"/>
    <w:rsid w:val="00DF1CEA"/>
    <w:rsid w:val="00E011CA"/>
    <w:rsid w:val="00E014FE"/>
    <w:rsid w:val="00E020FF"/>
    <w:rsid w:val="00E02924"/>
    <w:rsid w:val="00E0480C"/>
    <w:rsid w:val="00E04D67"/>
    <w:rsid w:val="00E06642"/>
    <w:rsid w:val="00E06B42"/>
    <w:rsid w:val="00E06BAA"/>
    <w:rsid w:val="00E103B3"/>
    <w:rsid w:val="00E1204A"/>
    <w:rsid w:val="00E12FB2"/>
    <w:rsid w:val="00E1556A"/>
    <w:rsid w:val="00E15A46"/>
    <w:rsid w:val="00E16D47"/>
    <w:rsid w:val="00E17649"/>
    <w:rsid w:val="00E21C12"/>
    <w:rsid w:val="00E234A5"/>
    <w:rsid w:val="00E254A1"/>
    <w:rsid w:val="00E261FC"/>
    <w:rsid w:val="00E30D5C"/>
    <w:rsid w:val="00E3417F"/>
    <w:rsid w:val="00E34286"/>
    <w:rsid w:val="00E344B9"/>
    <w:rsid w:val="00E35766"/>
    <w:rsid w:val="00E36790"/>
    <w:rsid w:val="00E36BC8"/>
    <w:rsid w:val="00E41CAD"/>
    <w:rsid w:val="00E461A7"/>
    <w:rsid w:val="00E47FAA"/>
    <w:rsid w:val="00E52372"/>
    <w:rsid w:val="00E523BC"/>
    <w:rsid w:val="00E538EE"/>
    <w:rsid w:val="00E56CA7"/>
    <w:rsid w:val="00E62348"/>
    <w:rsid w:val="00E624B4"/>
    <w:rsid w:val="00E62B9E"/>
    <w:rsid w:val="00E6634B"/>
    <w:rsid w:val="00E70882"/>
    <w:rsid w:val="00E72618"/>
    <w:rsid w:val="00E74934"/>
    <w:rsid w:val="00E7559E"/>
    <w:rsid w:val="00E764D5"/>
    <w:rsid w:val="00E770B8"/>
    <w:rsid w:val="00E80F80"/>
    <w:rsid w:val="00E82603"/>
    <w:rsid w:val="00E827F8"/>
    <w:rsid w:val="00E83169"/>
    <w:rsid w:val="00E83304"/>
    <w:rsid w:val="00E83448"/>
    <w:rsid w:val="00E83BF3"/>
    <w:rsid w:val="00E83FC7"/>
    <w:rsid w:val="00E86DDC"/>
    <w:rsid w:val="00E91C43"/>
    <w:rsid w:val="00EA23F9"/>
    <w:rsid w:val="00EA27FB"/>
    <w:rsid w:val="00EA462B"/>
    <w:rsid w:val="00EA694F"/>
    <w:rsid w:val="00EA754D"/>
    <w:rsid w:val="00EB0915"/>
    <w:rsid w:val="00EB0E28"/>
    <w:rsid w:val="00EB2BE0"/>
    <w:rsid w:val="00EB378D"/>
    <w:rsid w:val="00EB636A"/>
    <w:rsid w:val="00EB7F97"/>
    <w:rsid w:val="00EC064F"/>
    <w:rsid w:val="00EC0D95"/>
    <w:rsid w:val="00EC18BC"/>
    <w:rsid w:val="00EC3782"/>
    <w:rsid w:val="00EC50F2"/>
    <w:rsid w:val="00EC55FA"/>
    <w:rsid w:val="00EC63F6"/>
    <w:rsid w:val="00ED2A28"/>
    <w:rsid w:val="00ED4F63"/>
    <w:rsid w:val="00ED568D"/>
    <w:rsid w:val="00ED7A92"/>
    <w:rsid w:val="00EE0237"/>
    <w:rsid w:val="00EE2ABE"/>
    <w:rsid w:val="00EE5144"/>
    <w:rsid w:val="00EF0AEA"/>
    <w:rsid w:val="00EF0D2D"/>
    <w:rsid w:val="00EF6D14"/>
    <w:rsid w:val="00EF72B8"/>
    <w:rsid w:val="00EF7FDE"/>
    <w:rsid w:val="00F00EBD"/>
    <w:rsid w:val="00F010C6"/>
    <w:rsid w:val="00F027E0"/>
    <w:rsid w:val="00F03F82"/>
    <w:rsid w:val="00F04632"/>
    <w:rsid w:val="00F060AB"/>
    <w:rsid w:val="00F06373"/>
    <w:rsid w:val="00F07599"/>
    <w:rsid w:val="00F11202"/>
    <w:rsid w:val="00F128B5"/>
    <w:rsid w:val="00F131E1"/>
    <w:rsid w:val="00F13864"/>
    <w:rsid w:val="00F14D30"/>
    <w:rsid w:val="00F17F78"/>
    <w:rsid w:val="00F208AC"/>
    <w:rsid w:val="00F226C6"/>
    <w:rsid w:val="00F232E6"/>
    <w:rsid w:val="00F240C5"/>
    <w:rsid w:val="00F3249B"/>
    <w:rsid w:val="00F371E0"/>
    <w:rsid w:val="00F3741C"/>
    <w:rsid w:val="00F400E9"/>
    <w:rsid w:val="00F40C2F"/>
    <w:rsid w:val="00F41F8D"/>
    <w:rsid w:val="00F42EC1"/>
    <w:rsid w:val="00F4328B"/>
    <w:rsid w:val="00F45687"/>
    <w:rsid w:val="00F46CE7"/>
    <w:rsid w:val="00F50D2A"/>
    <w:rsid w:val="00F5171B"/>
    <w:rsid w:val="00F534DA"/>
    <w:rsid w:val="00F547B6"/>
    <w:rsid w:val="00F54E79"/>
    <w:rsid w:val="00F55580"/>
    <w:rsid w:val="00F56A58"/>
    <w:rsid w:val="00F606B9"/>
    <w:rsid w:val="00F6330C"/>
    <w:rsid w:val="00F64BF2"/>
    <w:rsid w:val="00F70F46"/>
    <w:rsid w:val="00F71294"/>
    <w:rsid w:val="00F72895"/>
    <w:rsid w:val="00F72C09"/>
    <w:rsid w:val="00F73DEE"/>
    <w:rsid w:val="00F741F9"/>
    <w:rsid w:val="00F763CF"/>
    <w:rsid w:val="00F76A21"/>
    <w:rsid w:val="00F77477"/>
    <w:rsid w:val="00F80271"/>
    <w:rsid w:val="00F80A9E"/>
    <w:rsid w:val="00F82E9F"/>
    <w:rsid w:val="00F843C6"/>
    <w:rsid w:val="00F8517A"/>
    <w:rsid w:val="00F85265"/>
    <w:rsid w:val="00F8558C"/>
    <w:rsid w:val="00F86477"/>
    <w:rsid w:val="00F86D20"/>
    <w:rsid w:val="00F87C11"/>
    <w:rsid w:val="00F9047D"/>
    <w:rsid w:val="00F910F5"/>
    <w:rsid w:val="00F93001"/>
    <w:rsid w:val="00F95BBF"/>
    <w:rsid w:val="00FA5456"/>
    <w:rsid w:val="00FA7B2C"/>
    <w:rsid w:val="00FB3E59"/>
    <w:rsid w:val="00FB5A5B"/>
    <w:rsid w:val="00FB612A"/>
    <w:rsid w:val="00FB640D"/>
    <w:rsid w:val="00FB72F6"/>
    <w:rsid w:val="00FB7431"/>
    <w:rsid w:val="00FC07F5"/>
    <w:rsid w:val="00FC38C6"/>
    <w:rsid w:val="00FC52EE"/>
    <w:rsid w:val="00FC677B"/>
    <w:rsid w:val="00FC782B"/>
    <w:rsid w:val="00FD066B"/>
    <w:rsid w:val="00FD1586"/>
    <w:rsid w:val="00FD35C3"/>
    <w:rsid w:val="00FD56CC"/>
    <w:rsid w:val="00FD7ED4"/>
    <w:rsid w:val="00FE0572"/>
    <w:rsid w:val="00FF13E7"/>
    <w:rsid w:val="00FF1F14"/>
    <w:rsid w:val="00FF55F8"/>
    <w:rsid w:val="00FF57CC"/>
    <w:rsid w:val="00FF5BC3"/>
    <w:rsid w:val="00FF5BCC"/>
    <w:rsid w:val="00FF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AEDE"/>
  <w14:defaultImageDpi w14:val="32767"/>
  <w15:chartTrackingRefBased/>
  <w15:docId w15:val="{B1ED0FC7-DE61-B749-9EC9-5B531899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7E1E"/>
    <w:pPr>
      <w:spacing w:before="240" w:after="240" w:line="360" w:lineRule="auto"/>
      <w:jc w:val="both"/>
    </w:pPr>
    <w:rPr>
      <w:rFonts w:ascii="Arial" w:hAnsi="Arial"/>
    </w:rPr>
  </w:style>
  <w:style w:type="paragraph" w:styleId="Heading1">
    <w:name w:val="heading 1"/>
    <w:basedOn w:val="Normal"/>
    <w:next w:val="FirstlevelNumbered"/>
    <w:link w:val="Heading1Char"/>
    <w:autoRedefine/>
    <w:uiPriority w:val="9"/>
    <w:qFormat/>
    <w:rsid w:val="0054215C"/>
    <w:pPr>
      <w:keepNext/>
      <w:keepLines/>
      <w:spacing w:before="360" w:after="360" w:line="480" w:lineRule="auto"/>
      <w:outlineLvl w:val="0"/>
    </w:pPr>
    <w:rPr>
      <w:rFonts w:eastAsiaTheme="majorEastAsia" w:cs="Times New Roman (Headings CS)"/>
      <w:b/>
      <w:caps/>
      <w:color w:val="000000" w:themeColor="text1"/>
      <w:szCs w:val="32"/>
    </w:rPr>
  </w:style>
  <w:style w:type="paragraph" w:styleId="Heading2">
    <w:name w:val="heading 2"/>
    <w:basedOn w:val="Normal"/>
    <w:next w:val="Normal"/>
    <w:link w:val="Heading2Char"/>
    <w:autoRedefine/>
    <w:uiPriority w:val="9"/>
    <w:unhideWhenUsed/>
    <w:qFormat/>
    <w:rsid w:val="0039184E"/>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BA128E"/>
    <w:pPr>
      <w:keepNext/>
      <w:keepLines/>
      <w:numPr>
        <w:ilvl w:val="2"/>
        <w:numId w:val="4"/>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A128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128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128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128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128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128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Work Numbering"/>
    <w:basedOn w:val="NoList"/>
    <w:uiPriority w:val="99"/>
    <w:semiHidden/>
    <w:unhideWhenUsed/>
    <w:rsid w:val="006B5647"/>
    <w:pPr>
      <w:numPr>
        <w:numId w:val="7"/>
      </w:numPr>
    </w:pPr>
  </w:style>
  <w:style w:type="character" w:customStyle="1" w:styleId="Heading1Char">
    <w:name w:val="Heading 1 Char"/>
    <w:basedOn w:val="DefaultParagraphFont"/>
    <w:link w:val="Heading1"/>
    <w:uiPriority w:val="9"/>
    <w:rsid w:val="0054215C"/>
    <w:rPr>
      <w:rFonts w:ascii="Arial" w:eastAsiaTheme="majorEastAsia" w:hAnsi="Arial" w:cs="Times New Roman (Headings CS)"/>
      <w:b/>
      <w:caps/>
      <w:color w:val="000000" w:themeColor="text1"/>
      <w:szCs w:val="32"/>
    </w:rPr>
  </w:style>
  <w:style w:type="character" w:customStyle="1" w:styleId="Heading2Char">
    <w:name w:val="Heading 2 Char"/>
    <w:basedOn w:val="DefaultParagraphFont"/>
    <w:link w:val="Heading2"/>
    <w:uiPriority w:val="9"/>
    <w:rsid w:val="0039184E"/>
    <w:rPr>
      <w:rFonts w:ascii="Arial" w:eastAsiaTheme="majorEastAsia" w:hAnsi="Arial" w:cstheme="majorBidi"/>
      <w:b/>
      <w:color w:val="000000" w:themeColor="text1"/>
      <w:szCs w:val="26"/>
    </w:rPr>
  </w:style>
  <w:style w:type="character" w:styleId="PageNumber">
    <w:name w:val="page number"/>
    <w:basedOn w:val="DefaultParagraphFont"/>
    <w:uiPriority w:val="99"/>
    <w:semiHidden/>
    <w:unhideWhenUsed/>
    <w:rsid w:val="00AD7E1E"/>
  </w:style>
  <w:style w:type="paragraph" w:styleId="ListParagraph">
    <w:name w:val="List Paragraph"/>
    <w:basedOn w:val="Normal"/>
    <w:uiPriority w:val="34"/>
    <w:qFormat/>
    <w:rsid w:val="00AD7E1E"/>
    <w:pPr>
      <w:ind w:left="720"/>
      <w:contextualSpacing/>
    </w:pPr>
  </w:style>
  <w:style w:type="paragraph" w:styleId="NoSpacing">
    <w:name w:val="No Spacing"/>
    <w:uiPriority w:val="1"/>
    <w:qFormat/>
    <w:rsid w:val="00831A76"/>
    <w:pPr>
      <w:jc w:val="both"/>
    </w:pPr>
    <w:rPr>
      <w:rFonts w:ascii="Arial" w:hAnsi="Arial"/>
    </w:rPr>
  </w:style>
  <w:style w:type="paragraph" w:styleId="Quote">
    <w:name w:val="Quote"/>
    <w:basedOn w:val="Normal"/>
    <w:next w:val="Normal"/>
    <w:link w:val="QuoteChar"/>
    <w:autoRedefine/>
    <w:uiPriority w:val="29"/>
    <w:qFormat/>
    <w:rsid w:val="003A1423"/>
    <w:pPr>
      <w:ind w:left="1701" w:right="1082"/>
    </w:pPr>
    <w:rPr>
      <w:i/>
      <w:iCs/>
      <w:color w:val="000000" w:themeColor="text1"/>
    </w:rPr>
  </w:style>
  <w:style w:type="character" w:customStyle="1" w:styleId="QuoteChar">
    <w:name w:val="Quote Char"/>
    <w:basedOn w:val="DefaultParagraphFont"/>
    <w:link w:val="Quote"/>
    <w:uiPriority w:val="29"/>
    <w:rsid w:val="003A1423"/>
    <w:rPr>
      <w:rFonts w:ascii="Arial" w:hAnsi="Arial"/>
      <w:i/>
      <w:iCs/>
      <w:color w:val="000000" w:themeColor="text1"/>
    </w:rPr>
  </w:style>
  <w:style w:type="paragraph" w:styleId="ListNumber">
    <w:name w:val="List Number"/>
    <w:basedOn w:val="Normal"/>
    <w:uiPriority w:val="99"/>
    <w:unhideWhenUsed/>
    <w:rsid w:val="00831A76"/>
    <w:pPr>
      <w:numPr>
        <w:numId w:val="1"/>
      </w:numPr>
      <w:contextualSpacing/>
    </w:pPr>
  </w:style>
  <w:style w:type="paragraph" w:styleId="ListNumber5">
    <w:name w:val="List Number 5"/>
    <w:basedOn w:val="Normal"/>
    <w:uiPriority w:val="99"/>
    <w:unhideWhenUsed/>
    <w:rsid w:val="00831A76"/>
    <w:pPr>
      <w:numPr>
        <w:numId w:val="3"/>
      </w:numPr>
      <w:contextualSpacing/>
    </w:pPr>
  </w:style>
  <w:style w:type="paragraph" w:styleId="ListNumber4">
    <w:name w:val="List Number 4"/>
    <w:basedOn w:val="Normal"/>
    <w:uiPriority w:val="99"/>
    <w:unhideWhenUsed/>
    <w:rsid w:val="00831A76"/>
    <w:pPr>
      <w:tabs>
        <w:tab w:val="num" w:pos="1209"/>
      </w:tabs>
      <w:ind w:left="1209" w:hanging="360"/>
      <w:contextualSpacing/>
    </w:pPr>
  </w:style>
  <w:style w:type="paragraph" w:styleId="ListNumber3">
    <w:name w:val="List Number 3"/>
    <w:aliases w:val="Third level Numbered"/>
    <w:basedOn w:val="Normal"/>
    <w:autoRedefine/>
    <w:uiPriority w:val="99"/>
    <w:unhideWhenUsed/>
    <w:qFormat/>
    <w:rsid w:val="007B7B74"/>
    <w:pPr>
      <w:numPr>
        <w:ilvl w:val="2"/>
        <w:numId w:val="6"/>
      </w:numPr>
      <w:spacing w:line="480" w:lineRule="auto"/>
    </w:pPr>
  </w:style>
  <w:style w:type="paragraph" w:styleId="ListNumber2">
    <w:name w:val="List Number 2"/>
    <w:aliases w:val="Second Level Numbered"/>
    <w:basedOn w:val="Normal"/>
    <w:uiPriority w:val="99"/>
    <w:unhideWhenUsed/>
    <w:qFormat/>
    <w:rsid w:val="004809B9"/>
    <w:pPr>
      <w:numPr>
        <w:ilvl w:val="1"/>
        <w:numId w:val="6"/>
      </w:numPr>
      <w:spacing w:line="480" w:lineRule="auto"/>
      <w:ind w:left="1701" w:hanging="1134"/>
    </w:pPr>
  </w:style>
  <w:style w:type="paragraph" w:customStyle="1" w:styleId="FirstlevelNumbered">
    <w:name w:val="First level Numbered"/>
    <w:basedOn w:val="ListNumber"/>
    <w:autoRedefine/>
    <w:qFormat/>
    <w:rsid w:val="004809B9"/>
    <w:pPr>
      <w:numPr>
        <w:numId w:val="6"/>
      </w:numPr>
      <w:spacing w:line="480" w:lineRule="auto"/>
      <w:ind w:left="567" w:hanging="567"/>
      <w:contextualSpacing w:val="0"/>
    </w:pPr>
  </w:style>
  <w:style w:type="character" w:customStyle="1" w:styleId="Heading3Char">
    <w:name w:val="Heading 3 Char"/>
    <w:basedOn w:val="DefaultParagraphFont"/>
    <w:link w:val="Heading3"/>
    <w:uiPriority w:val="9"/>
    <w:semiHidden/>
    <w:rsid w:val="005510C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510C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10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10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10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10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0C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4830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3035"/>
    <w:rPr>
      <w:rFonts w:ascii="Arial" w:hAnsi="Arial"/>
    </w:rPr>
  </w:style>
  <w:style w:type="table" w:styleId="TableGrid">
    <w:name w:val="Table Grid"/>
    <w:basedOn w:val="TableNormal"/>
    <w:uiPriority w:val="39"/>
    <w:rsid w:val="00E3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1Char"/>
    <w:qFormat/>
    <w:rsid w:val="006E2522"/>
    <w:pPr>
      <w:numPr>
        <w:numId w:val="5"/>
      </w:numPr>
      <w:adjustRightInd w:val="0"/>
      <w:spacing w:line="480" w:lineRule="auto"/>
      <w:ind w:left="851" w:hanging="851"/>
    </w:pPr>
    <w:rPr>
      <w:rFonts w:eastAsia="Times New Roman" w:cs="Arial"/>
      <w:iCs/>
      <w:color w:val="000000"/>
      <w:szCs w:val="22"/>
    </w:rPr>
  </w:style>
  <w:style w:type="paragraph" w:customStyle="1" w:styleId="2">
    <w:name w:val="2"/>
    <w:basedOn w:val="1"/>
    <w:link w:val="2Char"/>
    <w:qFormat/>
    <w:rsid w:val="006E2522"/>
    <w:pPr>
      <w:numPr>
        <w:ilvl w:val="1"/>
      </w:numPr>
      <w:ind w:left="1985" w:hanging="1134"/>
    </w:pPr>
  </w:style>
  <w:style w:type="paragraph" w:customStyle="1" w:styleId="3">
    <w:name w:val="3"/>
    <w:basedOn w:val="2"/>
    <w:qFormat/>
    <w:rsid w:val="00E34286"/>
    <w:pPr>
      <w:numPr>
        <w:ilvl w:val="2"/>
      </w:numPr>
      <w:ind w:left="3119" w:hanging="1134"/>
    </w:pPr>
  </w:style>
  <w:style w:type="paragraph" w:customStyle="1" w:styleId="4">
    <w:name w:val="4"/>
    <w:basedOn w:val="Normal"/>
    <w:qFormat/>
    <w:rsid w:val="00E34286"/>
    <w:pPr>
      <w:numPr>
        <w:ilvl w:val="3"/>
        <w:numId w:val="5"/>
      </w:numPr>
      <w:adjustRightInd w:val="0"/>
      <w:spacing w:after="0" w:line="480" w:lineRule="auto"/>
      <w:jc w:val="left"/>
      <w:outlineLvl w:val="3"/>
    </w:pPr>
    <w:rPr>
      <w:rFonts w:eastAsiaTheme="minorEastAsia"/>
      <w:iCs/>
      <w:color w:val="000000"/>
      <w:lang w:val="en-US"/>
    </w:rPr>
  </w:style>
  <w:style w:type="paragraph" w:customStyle="1" w:styleId="5">
    <w:name w:val="5"/>
    <w:basedOn w:val="4"/>
    <w:qFormat/>
    <w:rsid w:val="00E34286"/>
    <w:pPr>
      <w:numPr>
        <w:ilvl w:val="4"/>
      </w:numPr>
    </w:pPr>
  </w:style>
  <w:style w:type="character" w:customStyle="1" w:styleId="1Char">
    <w:name w:val="1 Char"/>
    <w:link w:val="1"/>
    <w:locked/>
    <w:rsid w:val="006E2522"/>
    <w:rPr>
      <w:rFonts w:ascii="Arial" w:eastAsia="Times New Roman" w:hAnsi="Arial" w:cs="Arial"/>
      <w:iCs/>
      <w:color w:val="000000"/>
      <w:szCs w:val="22"/>
    </w:rPr>
  </w:style>
  <w:style w:type="paragraph" w:styleId="FootnoteText">
    <w:name w:val="footnote text"/>
    <w:aliases w:val="Char Char,Char Char Char,ALTS FOOTNOTE,fn,footnote text,Footnotes,Footnote ak,Footnote Text Char1,Footnote Text Char Char,fn Char Char,footnote text Char Char,Footnotes Char Char,Footnote ak Char Char,fn Char1,footnote text Char1,f,Char,ft"/>
    <w:basedOn w:val="Normal"/>
    <w:link w:val="FootnoteTextChar"/>
    <w:uiPriority w:val="99"/>
    <w:unhideWhenUsed/>
    <w:qFormat/>
    <w:rsid w:val="00B62EEC"/>
    <w:pPr>
      <w:spacing w:before="0" w:after="0" w:line="240" w:lineRule="auto"/>
    </w:pPr>
    <w:rPr>
      <w:rFonts w:eastAsia="Calibri" w:cs="Times New Roman"/>
      <w:sz w:val="20"/>
      <w:szCs w:val="20"/>
    </w:rPr>
  </w:style>
  <w:style w:type="character" w:customStyle="1" w:styleId="FootnoteTextChar">
    <w:name w:val="Footnote Text Char"/>
    <w:aliases w:val="Char Char Char1,Char Char Char Char,ALTS FOOTNOTE Char,fn Char,footnote text Char,Footnotes Char,Footnote ak Char,Footnote Text Char1 Char,Footnote Text Char Char Char,fn Char Char Char,footnote text Char Char Char,fn Char1 Char"/>
    <w:basedOn w:val="DefaultParagraphFont"/>
    <w:link w:val="FootnoteText"/>
    <w:uiPriority w:val="99"/>
    <w:rsid w:val="00B62EEC"/>
    <w:rPr>
      <w:rFonts w:ascii="Arial" w:eastAsia="Calibri" w:hAnsi="Arial" w:cs="Times New Roman"/>
      <w:sz w:val="20"/>
      <w:szCs w:val="20"/>
    </w:rPr>
  </w:style>
  <w:style w:type="character" w:styleId="FootnoteReference">
    <w:name w:val="footnote reference"/>
    <w:aliases w:val="(NECG) Footnote Reference,SFG_Footnote_Reference,Nota,Appel note de bas de p,fr,o,-E Fußnotenzeichen,Ref,de nota al pie,註腳內容,Footnote symbol,Style 12,Footnote,Footnotes refss,Style 3,Style 17,FR,Style 13,Style 124,callout,Style 1"/>
    <w:uiPriority w:val="99"/>
    <w:unhideWhenUsed/>
    <w:rsid w:val="00B62EEC"/>
    <w:rPr>
      <w:vertAlign w:val="superscript"/>
    </w:rPr>
  </w:style>
  <w:style w:type="paragraph" w:customStyle="1" w:styleId="Default">
    <w:name w:val="Default"/>
    <w:rsid w:val="00F72895"/>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B7B7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B74"/>
    <w:rPr>
      <w:rFonts w:ascii="Times New Roman" w:hAnsi="Times New Roman" w:cs="Times New Roman"/>
      <w:sz w:val="18"/>
      <w:szCs w:val="18"/>
    </w:rPr>
  </w:style>
  <w:style w:type="paragraph" w:customStyle="1" w:styleId="WWHeading1">
    <w:name w:val="WW_Heading1"/>
    <w:basedOn w:val="Normal"/>
    <w:next w:val="Normal"/>
    <w:rsid w:val="007B7B74"/>
    <w:pPr>
      <w:keepNext/>
      <w:numPr>
        <w:numId w:val="8"/>
      </w:numPr>
      <w:suppressAutoHyphens/>
      <w:outlineLvl w:val="0"/>
    </w:pPr>
    <w:rPr>
      <w:rFonts w:eastAsia="Times New Roman" w:cs="Times New Roman"/>
      <w:b/>
      <w:sz w:val="22"/>
      <w:lang w:eastAsia="en-GB"/>
    </w:rPr>
  </w:style>
  <w:style w:type="paragraph" w:customStyle="1" w:styleId="WWHeading2">
    <w:name w:val="WW_Heading2"/>
    <w:basedOn w:val="Normal"/>
    <w:next w:val="Normal"/>
    <w:rsid w:val="007B7B74"/>
    <w:pPr>
      <w:keepNext/>
      <w:numPr>
        <w:ilvl w:val="1"/>
        <w:numId w:val="8"/>
      </w:numPr>
      <w:tabs>
        <w:tab w:val="left" w:pos="3402"/>
        <w:tab w:val="left" w:pos="3969"/>
      </w:tabs>
      <w:suppressAutoHyphens/>
      <w:spacing w:before="0"/>
      <w:outlineLvl w:val="1"/>
    </w:pPr>
    <w:rPr>
      <w:rFonts w:eastAsia="Times New Roman" w:cs="Times New Roman"/>
      <w:b/>
      <w:sz w:val="22"/>
      <w:lang w:eastAsia="en-GB"/>
    </w:rPr>
  </w:style>
  <w:style w:type="paragraph" w:customStyle="1" w:styleId="WWHeading3">
    <w:name w:val="WW_Heading3"/>
    <w:basedOn w:val="Normal"/>
    <w:next w:val="Normal"/>
    <w:rsid w:val="007B7B74"/>
    <w:pPr>
      <w:keepNext/>
      <w:numPr>
        <w:ilvl w:val="2"/>
        <w:numId w:val="8"/>
      </w:numPr>
      <w:tabs>
        <w:tab w:val="left" w:pos="3969"/>
        <w:tab w:val="left" w:pos="4536"/>
      </w:tabs>
      <w:suppressAutoHyphens/>
      <w:spacing w:before="0"/>
      <w:outlineLvl w:val="2"/>
    </w:pPr>
    <w:rPr>
      <w:rFonts w:eastAsia="Times New Roman" w:cs="Times New Roman"/>
      <w:b/>
      <w:sz w:val="22"/>
      <w:lang w:eastAsia="en-GB"/>
    </w:rPr>
  </w:style>
  <w:style w:type="paragraph" w:customStyle="1" w:styleId="WWHeading4">
    <w:name w:val="WW_Heading4"/>
    <w:basedOn w:val="Normal"/>
    <w:next w:val="Normal"/>
    <w:rsid w:val="007B7B74"/>
    <w:pPr>
      <w:keepNext/>
      <w:numPr>
        <w:ilvl w:val="3"/>
        <w:numId w:val="8"/>
      </w:numPr>
      <w:suppressAutoHyphens/>
      <w:spacing w:before="0"/>
      <w:outlineLvl w:val="3"/>
    </w:pPr>
    <w:rPr>
      <w:rFonts w:eastAsia="Times New Roman" w:cs="Times New Roman"/>
      <w:b/>
      <w:sz w:val="22"/>
      <w:lang w:eastAsia="en-GB"/>
    </w:rPr>
  </w:style>
  <w:style w:type="paragraph" w:customStyle="1" w:styleId="WWHeading5">
    <w:name w:val="WW_Heading5"/>
    <w:basedOn w:val="Normal"/>
    <w:next w:val="Normal"/>
    <w:rsid w:val="007B7B74"/>
    <w:pPr>
      <w:keepNext/>
      <w:numPr>
        <w:ilvl w:val="4"/>
        <w:numId w:val="8"/>
      </w:numPr>
      <w:suppressAutoHyphens/>
      <w:spacing w:before="0"/>
      <w:outlineLvl w:val="4"/>
    </w:pPr>
    <w:rPr>
      <w:rFonts w:eastAsia="Times New Roman" w:cs="Times New Roman"/>
      <w:b/>
      <w:sz w:val="22"/>
      <w:lang w:eastAsia="en-GB"/>
    </w:rPr>
  </w:style>
  <w:style w:type="paragraph" w:customStyle="1" w:styleId="WWHeading6">
    <w:name w:val="WW_Heading6"/>
    <w:basedOn w:val="Normal"/>
    <w:next w:val="Normal"/>
    <w:rsid w:val="007B7B74"/>
    <w:pPr>
      <w:keepNext/>
      <w:numPr>
        <w:ilvl w:val="5"/>
        <w:numId w:val="8"/>
      </w:numPr>
      <w:suppressAutoHyphens/>
      <w:spacing w:before="0"/>
      <w:outlineLvl w:val="5"/>
    </w:pPr>
    <w:rPr>
      <w:rFonts w:eastAsia="Times New Roman" w:cs="Times New Roman"/>
      <w:b/>
      <w:sz w:val="22"/>
      <w:lang w:eastAsia="en-GB"/>
    </w:rPr>
  </w:style>
  <w:style w:type="paragraph" w:customStyle="1" w:styleId="WWList2">
    <w:name w:val="WW_List2"/>
    <w:basedOn w:val="WWHeading2"/>
    <w:link w:val="WWList2Char"/>
    <w:rsid w:val="007B7B74"/>
    <w:pPr>
      <w:keepNext w:val="0"/>
      <w:numPr>
        <w:numId w:val="2"/>
      </w:numPr>
    </w:pPr>
    <w:rPr>
      <w:b w:val="0"/>
    </w:rPr>
  </w:style>
  <w:style w:type="character" w:customStyle="1" w:styleId="WWList2Char">
    <w:name w:val="WW_List2 Char"/>
    <w:basedOn w:val="DefaultParagraphFont"/>
    <w:link w:val="WWList2"/>
    <w:rsid w:val="007B7B74"/>
    <w:rPr>
      <w:rFonts w:ascii="Arial" w:eastAsia="Times New Roman" w:hAnsi="Arial" w:cs="Times New Roman"/>
      <w:sz w:val="22"/>
      <w:lang w:eastAsia="en-GB"/>
    </w:rPr>
  </w:style>
  <w:style w:type="paragraph" w:customStyle="1" w:styleId="WLGLevel1">
    <w:name w:val="WLGLevel1"/>
    <w:basedOn w:val="Normal"/>
    <w:qFormat/>
    <w:rsid w:val="007B7B74"/>
    <w:pPr>
      <w:numPr>
        <w:numId w:val="9"/>
      </w:numPr>
      <w:suppressAutoHyphens/>
      <w:spacing w:before="320" w:after="320" w:line="480" w:lineRule="auto"/>
      <w:outlineLvl w:val="0"/>
    </w:pPr>
    <w:rPr>
      <w:rFonts w:eastAsia="Times New Roman" w:cs="Times New Roman"/>
      <w:szCs w:val="20"/>
      <w:lang w:val="en-ZA"/>
    </w:rPr>
  </w:style>
  <w:style w:type="paragraph" w:customStyle="1" w:styleId="WLGLevel2">
    <w:name w:val="WLGLevel2"/>
    <w:basedOn w:val="Normal"/>
    <w:qFormat/>
    <w:rsid w:val="007B7B74"/>
    <w:pPr>
      <w:numPr>
        <w:ilvl w:val="1"/>
        <w:numId w:val="9"/>
      </w:numPr>
      <w:suppressAutoHyphens/>
      <w:spacing w:before="0" w:after="320" w:line="480" w:lineRule="auto"/>
      <w:outlineLvl w:val="1"/>
    </w:pPr>
    <w:rPr>
      <w:rFonts w:eastAsia="Times New Roman" w:cs="Times New Roman"/>
      <w:szCs w:val="20"/>
      <w:lang w:val="en-ZA"/>
    </w:rPr>
  </w:style>
  <w:style w:type="paragraph" w:customStyle="1" w:styleId="WLGLevel3">
    <w:name w:val="WLGLevel3"/>
    <w:basedOn w:val="Normal"/>
    <w:qFormat/>
    <w:rsid w:val="007B7B74"/>
    <w:pPr>
      <w:numPr>
        <w:ilvl w:val="2"/>
        <w:numId w:val="9"/>
      </w:numPr>
      <w:suppressAutoHyphens/>
      <w:spacing w:before="0" w:after="320" w:line="480" w:lineRule="auto"/>
      <w:outlineLvl w:val="2"/>
    </w:pPr>
    <w:rPr>
      <w:rFonts w:eastAsia="Times New Roman" w:cs="Times New Roman"/>
      <w:szCs w:val="20"/>
      <w:lang w:val="en-ZA"/>
    </w:rPr>
  </w:style>
  <w:style w:type="paragraph" w:customStyle="1" w:styleId="WLGLevel4">
    <w:name w:val="WLGLevel4"/>
    <w:basedOn w:val="Normal"/>
    <w:qFormat/>
    <w:rsid w:val="007B7B74"/>
    <w:pPr>
      <w:numPr>
        <w:ilvl w:val="3"/>
        <w:numId w:val="9"/>
      </w:numPr>
      <w:suppressAutoHyphens/>
      <w:spacing w:before="0" w:after="320" w:line="480" w:lineRule="auto"/>
      <w:outlineLvl w:val="3"/>
    </w:pPr>
    <w:rPr>
      <w:rFonts w:eastAsia="Times New Roman" w:cs="Times New Roman"/>
      <w:szCs w:val="20"/>
      <w:lang w:val="en-ZA"/>
    </w:rPr>
  </w:style>
  <w:style w:type="paragraph" w:customStyle="1" w:styleId="WLGLevel5">
    <w:name w:val="WLGLevel5"/>
    <w:basedOn w:val="Normal"/>
    <w:qFormat/>
    <w:rsid w:val="007B7B74"/>
    <w:pPr>
      <w:numPr>
        <w:ilvl w:val="4"/>
        <w:numId w:val="9"/>
      </w:numPr>
      <w:suppressAutoHyphens/>
      <w:spacing w:before="0" w:after="320" w:line="480" w:lineRule="auto"/>
      <w:outlineLvl w:val="4"/>
    </w:pPr>
    <w:rPr>
      <w:rFonts w:eastAsia="Times New Roman" w:cs="Times New Roman"/>
      <w:szCs w:val="20"/>
      <w:lang w:val="en-ZA"/>
    </w:rPr>
  </w:style>
  <w:style w:type="character" w:styleId="Hyperlink">
    <w:name w:val="Hyperlink"/>
    <w:uiPriority w:val="99"/>
    <w:rsid w:val="007B7B74"/>
    <w:rPr>
      <w:color w:val="0000FF"/>
      <w:u w:val="single"/>
    </w:rPr>
  </w:style>
  <w:style w:type="paragraph" w:customStyle="1" w:styleId="Appendix1">
    <w:name w:val="Appendix 1"/>
    <w:basedOn w:val="Normal"/>
    <w:next w:val="Normal"/>
    <w:rsid w:val="002C287C"/>
    <w:pPr>
      <w:keepNext/>
      <w:keepLines/>
      <w:numPr>
        <w:numId w:val="10"/>
      </w:numPr>
      <w:suppressLineNumbers/>
      <w:suppressAutoHyphens/>
      <w:spacing w:before="360" w:line="240" w:lineRule="auto"/>
      <w:ind w:left="0" w:hanging="720"/>
      <w:jc w:val="left"/>
    </w:pPr>
    <w:rPr>
      <w:rFonts w:ascii="Arial Bold" w:eastAsia="Times New Roman" w:hAnsi="Arial Bold" w:cs="Times New Roman"/>
      <w:b/>
      <w:caps/>
      <w:color w:val="808080"/>
      <w:sz w:val="28"/>
      <w:szCs w:val="20"/>
      <w:u w:color="568A9E"/>
      <w:lang w:eastAsia="en-GB"/>
    </w:rPr>
  </w:style>
  <w:style w:type="paragraph" w:customStyle="1" w:styleId="Appendix2">
    <w:name w:val="Appendix 2"/>
    <w:basedOn w:val="Normal"/>
    <w:next w:val="Normal"/>
    <w:rsid w:val="002C287C"/>
    <w:pPr>
      <w:keepNext/>
      <w:keepLines/>
      <w:numPr>
        <w:ilvl w:val="1"/>
        <w:numId w:val="10"/>
      </w:numPr>
      <w:suppressLineNumbers/>
      <w:tabs>
        <w:tab w:val="clear" w:pos="576"/>
      </w:tabs>
      <w:suppressAutoHyphens/>
      <w:spacing w:after="120" w:line="240" w:lineRule="auto"/>
      <w:ind w:left="0" w:hanging="720"/>
      <w:jc w:val="left"/>
    </w:pPr>
    <w:rPr>
      <w:rFonts w:ascii="Arial Bold" w:eastAsia="Times New Roman" w:hAnsi="Arial Bold" w:cs="Times New Roman"/>
      <w:b/>
      <w:color w:val="808080"/>
      <w:szCs w:val="20"/>
      <w:lang w:eastAsia="en-GB"/>
    </w:rPr>
  </w:style>
  <w:style w:type="paragraph" w:customStyle="1" w:styleId="Appendix3">
    <w:name w:val="Appendix 3"/>
    <w:basedOn w:val="Normal"/>
    <w:next w:val="Normal"/>
    <w:rsid w:val="002C287C"/>
    <w:pPr>
      <w:keepNext/>
      <w:keepLines/>
      <w:numPr>
        <w:ilvl w:val="2"/>
        <w:numId w:val="10"/>
      </w:numPr>
      <w:suppressLineNumbers/>
      <w:tabs>
        <w:tab w:val="clear" w:pos="720"/>
      </w:tabs>
      <w:suppressAutoHyphens/>
      <w:spacing w:after="120" w:line="240" w:lineRule="auto"/>
      <w:ind w:left="0"/>
      <w:jc w:val="left"/>
    </w:pPr>
    <w:rPr>
      <w:rFonts w:ascii="Arial Bold" w:eastAsia="Times New Roman" w:hAnsi="Arial Bold" w:cs="Times New Roman"/>
      <w:b/>
      <w:color w:val="808080"/>
      <w:sz w:val="22"/>
      <w:szCs w:val="20"/>
      <w:lang w:eastAsia="en-GB"/>
    </w:rPr>
  </w:style>
  <w:style w:type="paragraph" w:customStyle="1" w:styleId="Appendix4">
    <w:name w:val="Appendix 4"/>
    <w:basedOn w:val="Normal"/>
    <w:next w:val="Normal"/>
    <w:rsid w:val="002C287C"/>
    <w:pPr>
      <w:keepNext/>
      <w:keepLines/>
      <w:numPr>
        <w:ilvl w:val="3"/>
        <w:numId w:val="10"/>
      </w:numPr>
      <w:suppressLineNumbers/>
      <w:suppressAutoHyphens/>
      <w:spacing w:before="200" w:after="120" w:line="240" w:lineRule="auto"/>
      <w:ind w:left="0" w:firstLine="0"/>
      <w:jc w:val="left"/>
    </w:pPr>
    <w:rPr>
      <w:rFonts w:ascii="Arial Bold" w:eastAsia="Times New Roman" w:hAnsi="Arial Bold" w:cs="Times New Roman"/>
      <w:b/>
      <w:i/>
      <w:color w:val="808080"/>
      <w:sz w:val="20"/>
      <w:szCs w:val="20"/>
      <w:lang w:eastAsia="en-GB"/>
    </w:rPr>
  </w:style>
  <w:style w:type="paragraph" w:styleId="Revision">
    <w:name w:val="Revision"/>
    <w:hidden/>
    <w:uiPriority w:val="99"/>
    <w:semiHidden/>
    <w:rsid w:val="004809B9"/>
    <w:rPr>
      <w:rFonts w:ascii="Arial" w:hAnsi="Arial"/>
    </w:rPr>
  </w:style>
  <w:style w:type="character" w:styleId="CommentReference">
    <w:name w:val="annotation reference"/>
    <w:basedOn w:val="DefaultParagraphFont"/>
    <w:uiPriority w:val="99"/>
    <w:semiHidden/>
    <w:unhideWhenUsed/>
    <w:rsid w:val="00304251"/>
    <w:rPr>
      <w:sz w:val="16"/>
      <w:szCs w:val="16"/>
    </w:rPr>
  </w:style>
  <w:style w:type="paragraph" w:styleId="CommentText">
    <w:name w:val="annotation text"/>
    <w:basedOn w:val="Normal"/>
    <w:link w:val="CommentTextChar"/>
    <w:uiPriority w:val="99"/>
    <w:semiHidden/>
    <w:unhideWhenUsed/>
    <w:rsid w:val="00304251"/>
    <w:pPr>
      <w:spacing w:line="240" w:lineRule="auto"/>
    </w:pPr>
    <w:rPr>
      <w:sz w:val="20"/>
      <w:szCs w:val="20"/>
    </w:rPr>
  </w:style>
  <w:style w:type="character" w:customStyle="1" w:styleId="CommentTextChar">
    <w:name w:val="Comment Text Char"/>
    <w:basedOn w:val="DefaultParagraphFont"/>
    <w:link w:val="CommentText"/>
    <w:uiPriority w:val="99"/>
    <w:semiHidden/>
    <w:rsid w:val="003042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4251"/>
    <w:rPr>
      <w:b/>
      <w:bCs/>
    </w:rPr>
  </w:style>
  <w:style w:type="character" w:customStyle="1" w:styleId="CommentSubjectChar">
    <w:name w:val="Comment Subject Char"/>
    <w:basedOn w:val="CommentTextChar"/>
    <w:link w:val="CommentSubject"/>
    <w:uiPriority w:val="99"/>
    <w:semiHidden/>
    <w:rsid w:val="00304251"/>
    <w:rPr>
      <w:rFonts w:ascii="Arial" w:hAnsi="Arial"/>
      <w:b/>
      <w:bCs/>
      <w:sz w:val="20"/>
      <w:szCs w:val="20"/>
    </w:rPr>
  </w:style>
  <w:style w:type="paragraph" w:styleId="TOCHeading">
    <w:name w:val="TOC Heading"/>
    <w:basedOn w:val="Heading1"/>
    <w:next w:val="Normal"/>
    <w:uiPriority w:val="39"/>
    <w:unhideWhenUsed/>
    <w:qFormat/>
    <w:rsid w:val="00B23DDA"/>
    <w:pPr>
      <w:spacing w:before="480" w:after="0" w:line="276" w:lineRule="auto"/>
      <w:jc w:val="left"/>
      <w:outlineLvl w:val="9"/>
    </w:pPr>
    <w:rPr>
      <w:rFonts w:asciiTheme="majorHAnsi" w:hAnsiTheme="majorHAnsi" w:cstheme="majorBidi"/>
      <w:bCs/>
      <w:caps w:val="0"/>
      <w:color w:val="2F5496" w:themeColor="accent1" w:themeShade="BF"/>
      <w:sz w:val="28"/>
      <w:szCs w:val="28"/>
      <w:lang w:val="en-US"/>
    </w:rPr>
  </w:style>
  <w:style w:type="paragraph" w:styleId="TOC1">
    <w:name w:val="toc 1"/>
    <w:basedOn w:val="Normal"/>
    <w:next w:val="Normal"/>
    <w:autoRedefine/>
    <w:uiPriority w:val="39"/>
    <w:unhideWhenUsed/>
    <w:rsid w:val="00E254A1"/>
    <w:pPr>
      <w:spacing w:before="360" w:after="0"/>
      <w:jc w:val="left"/>
    </w:pPr>
    <w:rPr>
      <w:rFonts w:asciiTheme="majorHAnsi" w:hAnsiTheme="majorHAnsi"/>
      <w:b/>
      <w:bCs/>
      <w:caps/>
    </w:rPr>
  </w:style>
  <w:style w:type="paragraph" w:styleId="TOC2">
    <w:name w:val="toc 2"/>
    <w:basedOn w:val="Normal"/>
    <w:next w:val="Normal"/>
    <w:autoRedefine/>
    <w:uiPriority w:val="39"/>
    <w:unhideWhenUsed/>
    <w:rsid w:val="00B23DDA"/>
    <w:pPr>
      <w:spacing w:after="0"/>
      <w:jc w:val="left"/>
    </w:pPr>
    <w:rPr>
      <w:rFonts w:asciiTheme="minorHAnsi" w:hAnsiTheme="minorHAnsi"/>
      <w:b/>
      <w:bCs/>
      <w:sz w:val="20"/>
      <w:szCs w:val="20"/>
    </w:rPr>
  </w:style>
  <w:style w:type="paragraph" w:styleId="TOC3">
    <w:name w:val="toc 3"/>
    <w:basedOn w:val="Normal"/>
    <w:next w:val="Normal"/>
    <w:autoRedefine/>
    <w:uiPriority w:val="39"/>
    <w:unhideWhenUsed/>
    <w:rsid w:val="00B23DDA"/>
    <w:pPr>
      <w:spacing w:before="0" w:after="0"/>
      <w:ind w:left="240"/>
      <w:jc w:val="left"/>
    </w:pPr>
    <w:rPr>
      <w:rFonts w:asciiTheme="minorHAnsi" w:hAnsiTheme="minorHAnsi"/>
      <w:sz w:val="20"/>
      <w:szCs w:val="20"/>
    </w:rPr>
  </w:style>
  <w:style w:type="paragraph" w:styleId="TOC4">
    <w:name w:val="toc 4"/>
    <w:basedOn w:val="Normal"/>
    <w:next w:val="Normal"/>
    <w:autoRedefine/>
    <w:uiPriority w:val="39"/>
    <w:unhideWhenUsed/>
    <w:rsid w:val="00B23DDA"/>
    <w:pPr>
      <w:spacing w:before="0" w:after="0"/>
      <w:ind w:left="480"/>
      <w:jc w:val="left"/>
    </w:pPr>
    <w:rPr>
      <w:rFonts w:asciiTheme="minorHAnsi" w:hAnsiTheme="minorHAnsi"/>
      <w:sz w:val="20"/>
      <w:szCs w:val="20"/>
    </w:rPr>
  </w:style>
  <w:style w:type="paragraph" w:styleId="TOC5">
    <w:name w:val="toc 5"/>
    <w:basedOn w:val="Normal"/>
    <w:next w:val="Normal"/>
    <w:autoRedefine/>
    <w:uiPriority w:val="39"/>
    <w:unhideWhenUsed/>
    <w:rsid w:val="00B23DDA"/>
    <w:pPr>
      <w:spacing w:before="0"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B23DDA"/>
    <w:pPr>
      <w:spacing w:before="0"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B23DDA"/>
    <w:pPr>
      <w:spacing w:before="0"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B23DDA"/>
    <w:pPr>
      <w:spacing w:before="0"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B23DDA"/>
    <w:pPr>
      <w:spacing w:before="0" w:after="0"/>
      <w:ind w:left="1680"/>
      <w:jc w:val="left"/>
    </w:pPr>
    <w:rPr>
      <w:rFonts w:asciiTheme="minorHAnsi" w:hAnsiTheme="minorHAnsi"/>
      <w:sz w:val="20"/>
      <w:szCs w:val="20"/>
    </w:rPr>
  </w:style>
  <w:style w:type="paragraph" w:styleId="NormalWeb">
    <w:name w:val="Normal (Web)"/>
    <w:basedOn w:val="Normal"/>
    <w:uiPriority w:val="99"/>
    <w:unhideWhenUsed/>
    <w:rsid w:val="0082340D"/>
    <w:pPr>
      <w:spacing w:before="0" w:after="0" w:line="240" w:lineRule="auto"/>
      <w:jc w:val="left"/>
    </w:pPr>
    <w:rPr>
      <w:rFonts w:ascii="Times New Roman" w:hAnsi="Times New Roman" w:cs="Times New Roman"/>
    </w:rPr>
  </w:style>
  <w:style w:type="paragraph" w:styleId="EndnoteText">
    <w:name w:val="endnote text"/>
    <w:basedOn w:val="Normal"/>
    <w:link w:val="EndnoteTextChar"/>
    <w:uiPriority w:val="99"/>
    <w:semiHidden/>
    <w:unhideWhenUsed/>
    <w:rsid w:val="0082340D"/>
    <w:pPr>
      <w:spacing w:before="0" w:after="0" w:line="240" w:lineRule="auto"/>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2340D"/>
    <w:rPr>
      <w:sz w:val="20"/>
      <w:szCs w:val="20"/>
    </w:rPr>
  </w:style>
  <w:style w:type="character" w:styleId="EndnoteReference">
    <w:name w:val="endnote reference"/>
    <w:basedOn w:val="DefaultParagraphFont"/>
    <w:uiPriority w:val="99"/>
    <w:semiHidden/>
    <w:unhideWhenUsed/>
    <w:rsid w:val="0082340D"/>
    <w:rPr>
      <w:vertAlign w:val="superscript"/>
    </w:rPr>
  </w:style>
  <w:style w:type="character" w:customStyle="1" w:styleId="2Char">
    <w:name w:val="2 Char"/>
    <w:basedOn w:val="1Char"/>
    <w:link w:val="2"/>
    <w:rsid w:val="006E2522"/>
    <w:rPr>
      <w:rFonts w:ascii="Arial" w:eastAsia="Times New Roman" w:hAnsi="Arial" w:cs="Arial"/>
      <w:iCs/>
      <w:color w:val="000000"/>
      <w:szCs w:val="22"/>
    </w:rPr>
  </w:style>
  <w:style w:type="paragraph" w:customStyle="1" w:styleId="WWBodyText3">
    <w:name w:val="WW_BodyText3"/>
    <w:basedOn w:val="WWBodyText"/>
    <w:rsid w:val="002E28BE"/>
    <w:pPr>
      <w:tabs>
        <w:tab w:val="left" w:pos="3969"/>
        <w:tab w:val="left" w:pos="4536"/>
      </w:tabs>
      <w:ind w:left="1701"/>
    </w:pPr>
  </w:style>
  <w:style w:type="paragraph" w:customStyle="1" w:styleId="WWBodyText">
    <w:name w:val="WW_BodyText"/>
    <w:basedOn w:val="Normal"/>
    <w:rsid w:val="002E28BE"/>
    <w:pPr>
      <w:suppressAutoHyphens/>
      <w:spacing w:before="0"/>
    </w:pPr>
    <w:rPr>
      <w:rFonts w:eastAsia="Times New Roman" w:cs="Times New Roman"/>
      <w:sz w:val="22"/>
      <w:lang w:eastAsia="en-GB"/>
    </w:rPr>
  </w:style>
  <w:style w:type="paragraph" w:customStyle="1" w:styleId="WWBodyText4">
    <w:name w:val="WW_BodyText4"/>
    <w:basedOn w:val="WWBodyText"/>
    <w:rsid w:val="00366652"/>
    <w:pPr>
      <w:ind w:left="2268"/>
    </w:pPr>
  </w:style>
  <w:style w:type="character" w:customStyle="1" w:styleId="apple-converted-space">
    <w:name w:val="apple-converted-space"/>
    <w:basedOn w:val="DefaultParagraphFont"/>
    <w:rsid w:val="004252E5"/>
  </w:style>
  <w:style w:type="paragraph" w:customStyle="1" w:styleId="Pa5">
    <w:name w:val="Pa5"/>
    <w:basedOn w:val="Default"/>
    <w:next w:val="Default"/>
    <w:uiPriority w:val="99"/>
    <w:rsid w:val="00D66F2D"/>
    <w:pPr>
      <w:spacing w:line="181" w:lineRule="atLeast"/>
    </w:pPr>
    <w:rPr>
      <w:rFonts w:ascii="Gotham Narrow Medium" w:hAnsi="Gotham Narrow Medium" w:cstheme="minorBidi"/>
      <w:color w:val="auto"/>
    </w:rPr>
  </w:style>
  <w:style w:type="paragraph" w:customStyle="1" w:styleId="Pa8">
    <w:name w:val="Pa8"/>
    <w:basedOn w:val="Default"/>
    <w:next w:val="Default"/>
    <w:uiPriority w:val="99"/>
    <w:rsid w:val="00824F1E"/>
    <w:pPr>
      <w:spacing w:line="181" w:lineRule="atLeast"/>
    </w:pPr>
    <w:rPr>
      <w:rFonts w:ascii="Gotham Narrow Light" w:hAnsi="Gotham Narrow Light" w:cstheme="minorBidi"/>
      <w:color w:val="auto"/>
    </w:rPr>
  </w:style>
  <w:style w:type="character" w:customStyle="1" w:styleId="A10">
    <w:name w:val="A10"/>
    <w:uiPriority w:val="99"/>
    <w:rsid w:val="00824F1E"/>
    <w:rPr>
      <w:rFonts w:cs="Gotham Narrow Light"/>
      <w:color w:val="000000"/>
      <w:sz w:val="10"/>
      <w:szCs w:val="10"/>
    </w:rPr>
  </w:style>
  <w:style w:type="paragraph" w:customStyle="1" w:styleId="CaseNameHeadings">
    <w:name w:val="Case Name Headings"/>
    <w:basedOn w:val="ListParagraph"/>
    <w:rsid w:val="009707BD"/>
    <w:pPr>
      <w:numPr>
        <w:numId w:val="13"/>
      </w:numPr>
      <w:spacing w:before="0" w:after="200" w:line="276" w:lineRule="auto"/>
      <w:contextualSpacing w:val="0"/>
      <w:jc w:val="left"/>
    </w:pPr>
    <w:rPr>
      <w:rFonts w:ascii="Verdana" w:eastAsiaTheme="minorEastAsia" w:hAnsi="Verdana" w:cs="Verdana"/>
      <w:i/>
      <w:szCs w:val="20"/>
      <w:u w:val="single"/>
      <w:lang w:val="en-US" w:bidi="en-US"/>
    </w:rPr>
  </w:style>
  <w:style w:type="paragraph" w:styleId="BodyText">
    <w:name w:val="Body Text"/>
    <w:basedOn w:val="Normal"/>
    <w:link w:val="BodyTextChar"/>
    <w:rsid w:val="00980FC7"/>
    <w:pPr>
      <w:suppressAutoHyphens/>
      <w:spacing w:before="0"/>
      <w:ind w:left="454"/>
    </w:pPr>
    <w:rPr>
      <w:rFonts w:eastAsia="Times New Roman" w:cs="Times New Roman"/>
      <w:lang w:eastAsia="en-GB"/>
    </w:rPr>
  </w:style>
  <w:style w:type="character" w:customStyle="1" w:styleId="BodyTextChar">
    <w:name w:val="Body Text Char"/>
    <w:basedOn w:val="DefaultParagraphFont"/>
    <w:link w:val="BodyText"/>
    <w:rsid w:val="00980FC7"/>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3419">
      <w:bodyDiv w:val="1"/>
      <w:marLeft w:val="0"/>
      <w:marRight w:val="0"/>
      <w:marTop w:val="0"/>
      <w:marBottom w:val="0"/>
      <w:divBdr>
        <w:top w:val="none" w:sz="0" w:space="0" w:color="auto"/>
        <w:left w:val="none" w:sz="0" w:space="0" w:color="auto"/>
        <w:bottom w:val="none" w:sz="0" w:space="0" w:color="auto"/>
        <w:right w:val="none" w:sz="0" w:space="0" w:color="auto"/>
      </w:divBdr>
      <w:divsChild>
        <w:div w:id="1698500676">
          <w:marLeft w:val="0"/>
          <w:marRight w:val="0"/>
          <w:marTop w:val="0"/>
          <w:marBottom w:val="0"/>
          <w:divBdr>
            <w:top w:val="none" w:sz="0" w:space="0" w:color="auto"/>
            <w:left w:val="none" w:sz="0" w:space="0" w:color="auto"/>
            <w:bottom w:val="none" w:sz="0" w:space="0" w:color="auto"/>
            <w:right w:val="none" w:sz="0" w:space="0" w:color="auto"/>
          </w:divBdr>
          <w:divsChild>
            <w:div w:id="566309661">
              <w:marLeft w:val="0"/>
              <w:marRight w:val="0"/>
              <w:marTop w:val="0"/>
              <w:marBottom w:val="0"/>
              <w:divBdr>
                <w:top w:val="none" w:sz="0" w:space="0" w:color="auto"/>
                <w:left w:val="none" w:sz="0" w:space="0" w:color="auto"/>
                <w:bottom w:val="none" w:sz="0" w:space="0" w:color="auto"/>
                <w:right w:val="none" w:sz="0" w:space="0" w:color="auto"/>
              </w:divBdr>
              <w:divsChild>
                <w:div w:id="15545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9322">
      <w:bodyDiv w:val="1"/>
      <w:marLeft w:val="0"/>
      <w:marRight w:val="0"/>
      <w:marTop w:val="0"/>
      <w:marBottom w:val="0"/>
      <w:divBdr>
        <w:top w:val="none" w:sz="0" w:space="0" w:color="auto"/>
        <w:left w:val="none" w:sz="0" w:space="0" w:color="auto"/>
        <w:bottom w:val="none" w:sz="0" w:space="0" w:color="auto"/>
        <w:right w:val="none" w:sz="0" w:space="0" w:color="auto"/>
      </w:divBdr>
      <w:divsChild>
        <w:div w:id="1836458480">
          <w:marLeft w:val="0"/>
          <w:marRight w:val="0"/>
          <w:marTop w:val="0"/>
          <w:marBottom w:val="0"/>
          <w:divBdr>
            <w:top w:val="none" w:sz="0" w:space="0" w:color="auto"/>
            <w:left w:val="none" w:sz="0" w:space="0" w:color="auto"/>
            <w:bottom w:val="none" w:sz="0" w:space="0" w:color="auto"/>
            <w:right w:val="none" w:sz="0" w:space="0" w:color="auto"/>
          </w:divBdr>
          <w:divsChild>
            <w:div w:id="1299458033">
              <w:marLeft w:val="0"/>
              <w:marRight w:val="0"/>
              <w:marTop w:val="0"/>
              <w:marBottom w:val="0"/>
              <w:divBdr>
                <w:top w:val="none" w:sz="0" w:space="0" w:color="auto"/>
                <w:left w:val="none" w:sz="0" w:space="0" w:color="auto"/>
                <w:bottom w:val="none" w:sz="0" w:space="0" w:color="auto"/>
                <w:right w:val="none" w:sz="0" w:space="0" w:color="auto"/>
              </w:divBdr>
              <w:divsChild>
                <w:div w:id="718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9492">
      <w:bodyDiv w:val="1"/>
      <w:marLeft w:val="0"/>
      <w:marRight w:val="0"/>
      <w:marTop w:val="0"/>
      <w:marBottom w:val="0"/>
      <w:divBdr>
        <w:top w:val="none" w:sz="0" w:space="0" w:color="auto"/>
        <w:left w:val="none" w:sz="0" w:space="0" w:color="auto"/>
        <w:bottom w:val="none" w:sz="0" w:space="0" w:color="auto"/>
        <w:right w:val="none" w:sz="0" w:space="0" w:color="auto"/>
      </w:divBdr>
    </w:div>
    <w:div w:id="174076777">
      <w:bodyDiv w:val="1"/>
      <w:marLeft w:val="0"/>
      <w:marRight w:val="0"/>
      <w:marTop w:val="0"/>
      <w:marBottom w:val="0"/>
      <w:divBdr>
        <w:top w:val="none" w:sz="0" w:space="0" w:color="auto"/>
        <w:left w:val="none" w:sz="0" w:space="0" w:color="auto"/>
        <w:bottom w:val="none" w:sz="0" w:space="0" w:color="auto"/>
        <w:right w:val="none" w:sz="0" w:space="0" w:color="auto"/>
      </w:divBdr>
    </w:div>
    <w:div w:id="462038477">
      <w:bodyDiv w:val="1"/>
      <w:marLeft w:val="0"/>
      <w:marRight w:val="0"/>
      <w:marTop w:val="0"/>
      <w:marBottom w:val="0"/>
      <w:divBdr>
        <w:top w:val="none" w:sz="0" w:space="0" w:color="auto"/>
        <w:left w:val="none" w:sz="0" w:space="0" w:color="auto"/>
        <w:bottom w:val="none" w:sz="0" w:space="0" w:color="auto"/>
        <w:right w:val="none" w:sz="0" w:space="0" w:color="auto"/>
      </w:divBdr>
    </w:div>
    <w:div w:id="526916697">
      <w:bodyDiv w:val="1"/>
      <w:marLeft w:val="0"/>
      <w:marRight w:val="0"/>
      <w:marTop w:val="0"/>
      <w:marBottom w:val="0"/>
      <w:divBdr>
        <w:top w:val="none" w:sz="0" w:space="0" w:color="auto"/>
        <w:left w:val="none" w:sz="0" w:space="0" w:color="auto"/>
        <w:bottom w:val="none" w:sz="0" w:space="0" w:color="auto"/>
        <w:right w:val="none" w:sz="0" w:space="0" w:color="auto"/>
      </w:divBdr>
    </w:div>
    <w:div w:id="826634695">
      <w:bodyDiv w:val="1"/>
      <w:marLeft w:val="0"/>
      <w:marRight w:val="0"/>
      <w:marTop w:val="0"/>
      <w:marBottom w:val="0"/>
      <w:divBdr>
        <w:top w:val="none" w:sz="0" w:space="0" w:color="auto"/>
        <w:left w:val="none" w:sz="0" w:space="0" w:color="auto"/>
        <w:bottom w:val="none" w:sz="0" w:space="0" w:color="auto"/>
        <w:right w:val="none" w:sz="0" w:space="0" w:color="auto"/>
      </w:divBdr>
      <w:divsChild>
        <w:div w:id="1590431559">
          <w:marLeft w:val="0"/>
          <w:marRight w:val="0"/>
          <w:marTop w:val="0"/>
          <w:marBottom w:val="0"/>
          <w:divBdr>
            <w:top w:val="none" w:sz="0" w:space="0" w:color="auto"/>
            <w:left w:val="none" w:sz="0" w:space="0" w:color="auto"/>
            <w:bottom w:val="none" w:sz="0" w:space="0" w:color="auto"/>
            <w:right w:val="none" w:sz="0" w:space="0" w:color="auto"/>
          </w:divBdr>
          <w:divsChild>
            <w:div w:id="301885843">
              <w:marLeft w:val="0"/>
              <w:marRight w:val="0"/>
              <w:marTop w:val="0"/>
              <w:marBottom w:val="0"/>
              <w:divBdr>
                <w:top w:val="none" w:sz="0" w:space="0" w:color="auto"/>
                <w:left w:val="none" w:sz="0" w:space="0" w:color="auto"/>
                <w:bottom w:val="none" w:sz="0" w:space="0" w:color="auto"/>
                <w:right w:val="none" w:sz="0" w:space="0" w:color="auto"/>
              </w:divBdr>
              <w:divsChild>
                <w:div w:id="18967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4">
      <w:bodyDiv w:val="1"/>
      <w:marLeft w:val="0"/>
      <w:marRight w:val="0"/>
      <w:marTop w:val="0"/>
      <w:marBottom w:val="0"/>
      <w:divBdr>
        <w:top w:val="none" w:sz="0" w:space="0" w:color="auto"/>
        <w:left w:val="none" w:sz="0" w:space="0" w:color="auto"/>
        <w:bottom w:val="none" w:sz="0" w:space="0" w:color="auto"/>
        <w:right w:val="none" w:sz="0" w:space="0" w:color="auto"/>
      </w:divBdr>
    </w:div>
    <w:div w:id="874148903">
      <w:bodyDiv w:val="1"/>
      <w:marLeft w:val="0"/>
      <w:marRight w:val="0"/>
      <w:marTop w:val="0"/>
      <w:marBottom w:val="0"/>
      <w:divBdr>
        <w:top w:val="none" w:sz="0" w:space="0" w:color="auto"/>
        <w:left w:val="none" w:sz="0" w:space="0" w:color="auto"/>
        <w:bottom w:val="none" w:sz="0" w:space="0" w:color="auto"/>
        <w:right w:val="none" w:sz="0" w:space="0" w:color="auto"/>
      </w:divBdr>
    </w:div>
    <w:div w:id="874192144">
      <w:bodyDiv w:val="1"/>
      <w:marLeft w:val="0"/>
      <w:marRight w:val="0"/>
      <w:marTop w:val="0"/>
      <w:marBottom w:val="0"/>
      <w:divBdr>
        <w:top w:val="none" w:sz="0" w:space="0" w:color="auto"/>
        <w:left w:val="none" w:sz="0" w:space="0" w:color="auto"/>
        <w:bottom w:val="none" w:sz="0" w:space="0" w:color="auto"/>
        <w:right w:val="none" w:sz="0" w:space="0" w:color="auto"/>
      </w:divBdr>
      <w:divsChild>
        <w:div w:id="872887224">
          <w:marLeft w:val="0"/>
          <w:marRight w:val="0"/>
          <w:marTop w:val="0"/>
          <w:marBottom w:val="0"/>
          <w:divBdr>
            <w:top w:val="none" w:sz="0" w:space="0" w:color="auto"/>
            <w:left w:val="none" w:sz="0" w:space="0" w:color="auto"/>
            <w:bottom w:val="none" w:sz="0" w:space="0" w:color="auto"/>
            <w:right w:val="none" w:sz="0" w:space="0" w:color="auto"/>
          </w:divBdr>
          <w:divsChild>
            <w:div w:id="1547793531">
              <w:marLeft w:val="0"/>
              <w:marRight w:val="0"/>
              <w:marTop w:val="0"/>
              <w:marBottom w:val="0"/>
              <w:divBdr>
                <w:top w:val="none" w:sz="0" w:space="0" w:color="auto"/>
                <w:left w:val="none" w:sz="0" w:space="0" w:color="auto"/>
                <w:bottom w:val="none" w:sz="0" w:space="0" w:color="auto"/>
                <w:right w:val="none" w:sz="0" w:space="0" w:color="auto"/>
              </w:divBdr>
              <w:divsChild>
                <w:div w:id="9088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5742">
      <w:bodyDiv w:val="1"/>
      <w:marLeft w:val="0"/>
      <w:marRight w:val="0"/>
      <w:marTop w:val="0"/>
      <w:marBottom w:val="0"/>
      <w:divBdr>
        <w:top w:val="none" w:sz="0" w:space="0" w:color="auto"/>
        <w:left w:val="none" w:sz="0" w:space="0" w:color="auto"/>
        <w:bottom w:val="none" w:sz="0" w:space="0" w:color="auto"/>
        <w:right w:val="none" w:sz="0" w:space="0" w:color="auto"/>
      </w:divBdr>
    </w:div>
    <w:div w:id="974215429">
      <w:bodyDiv w:val="1"/>
      <w:marLeft w:val="0"/>
      <w:marRight w:val="0"/>
      <w:marTop w:val="0"/>
      <w:marBottom w:val="0"/>
      <w:divBdr>
        <w:top w:val="none" w:sz="0" w:space="0" w:color="auto"/>
        <w:left w:val="none" w:sz="0" w:space="0" w:color="auto"/>
        <w:bottom w:val="none" w:sz="0" w:space="0" w:color="auto"/>
        <w:right w:val="none" w:sz="0" w:space="0" w:color="auto"/>
      </w:divBdr>
    </w:div>
    <w:div w:id="1173446377">
      <w:bodyDiv w:val="1"/>
      <w:marLeft w:val="0"/>
      <w:marRight w:val="0"/>
      <w:marTop w:val="0"/>
      <w:marBottom w:val="0"/>
      <w:divBdr>
        <w:top w:val="none" w:sz="0" w:space="0" w:color="auto"/>
        <w:left w:val="none" w:sz="0" w:space="0" w:color="auto"/>
        <w:bottom w:val="none" w:sz="0" w:space="0" w:color="auto"/>
        <w:right w:val="none" w:sz="0" w:space="0" w:color="auto"/>
      </w:divBdr>
    </w:div>
    <w:div w:id="1180392414">
      <w:bodyDiv w:val="1"/>
      <w:marLeft w:val="0"/>
      <w:marRight w:val="0"/>
      <w:marTop w:val="0"/>
      <w:marBottom w:val="0"/>
      <w:divBdr>
        <w:top w:val="none" w:sz="0" w:space="0" w:color="auto"/>
        <w:left w:val="none" w:sz="0" w:space="0" w:color="auto"/>
        <w:bottom w:val="none" w:sz="0" w:space="0" w:color="auto"/>
        <w:right w:val="none" w:sz="0" w:space="0" w:color="auto"/>
      </w:divBdr>
    </w:div>
    <w:div w:id="1412969988">
      <w:bodyDiv w:val="1"/>
      <w:marLeft w:val="0"/>
      <w:marRight w:val="0"/>
      <w:marTop w:val="0"/>
      <w:marBottom w:val="0"/>
      <w:divBdr>
        <w:top w:val="none" w:sz="0" w:space="0" w:color="auto"/>
        <w:left w:val="none" w:sz="0" w:space="0" w:color="auto"/>
        <w:bottom w:val="none" w:sz="0" w:space="0" w:color="auto"/>
        <w:right w:val="none" w:sz="0" w:space="0" w:color="auto"/>
      </w:divBdr>
    </w:div>
    <w:div w:id="1900557711">
      <w:bodyDiv w:val="1"/>
      <w:marLeft w:val="0"/>
      <w:marRight w:val="0"/>
      <w:marTop w:val="0"/>
      <w:marBottom w:val="0"/>
      <w:divBdr>
        <w:top w:val="none" w:sz="0" w:space="0" w:color="auto"/>
        <w:left w:val="none" w:sz="0" w:space="0" w:color="auto"/>
        <w:bottom w:val="none" w:sz="0" w:space="0" w:color="auto"/>
        <w:right w:val="none" w:sz="0" w:space="0" w:color="auto"/>
      </w:divBdr>
    </w:div>
    <w:div w:id="2089884803">
      <w:bodyDiv w:val="1"/>
      <w:marLeft w:val="0"/>
      <w:marRight w:val="0"/>
      <w:marTop w:val="0"/>
      <w:marBottom w:val="0"/>
      <w:divBdr>
        <w:top w:val="none" w:sz="0" w:space="0" w:color="auto"/>
        <w:left w:val="none" w:sz="0" w:space="0" w:color="auto"/>
        <w:bottom w:val="none" w:sz="0" w:space="0" w:color="auto"/>
        <w:right w:val="none" w:sz="0" w:space="0" w:color="auto"/>
      </w:divBdr>
      <w:divsChild>
        <w:div w:id="1761246573">
          <w:marLeft w:val="0"/>
          <w:marRight w:val="0"/>
          <w:marTop w:val="0"/>
          <w:marBottom w:val="0"/>
          <w:divBdr>
            <w:top w:val="none" w:sz="0" w:space="0" w:color="auto"/>
            <w:left w:val="none" w:sz="0" w:space="0" w:color="auto"/>
            <w:bottom w:val="none" w:sz="0" w:space="0" w:color="auto"/>
            <w:right w:val="none" w:sz="0" w:space="0" w:color="auto"/>
          </w:divBdr>
          <w:divsChild>
            <w:div w:id="1501696547">
              <w:marLeft w:val="0"/>
              <w:marRight w:val="0"/>
              <w:marTop w:val="0"/>
              <w:marBottom w:val="0"/>
              <w:divBdr>
                <w:top w:val="none" w:sz="0" w:space="0" w:color="auto"/>
                <w:left w:val="none" w:sz="0" w:space="0" w:color="auto"/>
                <w:bottom w:val="none" w:sz="0" w:space="0" w:color="auto"/>
                <w:right w:val="none" w:sz="0" w:space="0" w:color="auto"/>
              </w:divBdr>
              <w:divsChild>
                <w:div w:id="8194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2013">
      <w:bodyDiv w:val="1"/>
      <w:marLeft w:val="0"/>
      <w:marRight w:val="0"/>
      <w:marTop w:val="0"/>
      <w:marBottom w:val="0"/>
      <w:divBdr>
        <w:top w:val="none" w:sz="0" w:space="0" w:color="auto"/>
        <w:left w:val="none" w:sz="0" w:space="0" w:color="auto"/>
        <w:bottom w:val="none" w:sz="0" w:space="0" w:color="auto"/>
        <w:right w:val="none" w:sz="0" w:space="0" w:color="auto"/>
      </w:divBdr>
      <w:divsChild>
        <w:div w:id="1370297479">
          <w:marLeft w:val="0"/>
          <w:marRight w:val="0"/>
          <w:marTop w:val="0"/>
          <w:marBottom w:val="0"/>
          <w:divBdr>
            <w:top w:val="none" w:sz="0" w:space="0" w:color="auto"/>
            <w:left w:val="none" w:sz="0" w:space="0" w:color="auto"/>
            <w:bottom w:val="none" w:sz="0" w:space="0" w:color="auto"/>
            <w:right w:val="none" w:sz="0" w:space="0" w:color="auto"/>
          </w:divBdr>
          <w:divsChild>
            <w:div w:id="812141849">
              <w:marLeft w:val="0"/>
              <w:marRight w:val="0"/>
              <w:marTop w:val="0"/>
              <w:marBottom w:val="0"/>
              <w:divBdr>
                <w:top w:val="none" w:sz="0" w:space="0" w:color="auto"/>
                <w:left w:val="none" w:sz="0" w:space="0" w:color="auto"/>
                <w:bottom w:val="none" w:sz="0" w:space="0" w:color="auto"/>
                <w:right w:val="none" w:sz="0" w:space="0" w:color="auto"/>
              </w:divBdr>
              <w:divsChild>
                <w:div w:id="268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95DB91FE57E44594A3266B37A5CB85" ma:contentTypeVersion="13" ma:contentTypeDescription="Create a new document." ma:contentTypeScope="" ma:versionID="484862104f04a4dd7d751df067522aff">
  <xsd:schema xmlns:xsd="http://www.w3.org/2001/XMLSchema" xmlns:xs="http://www.w3.org/2001/XMLSchema" xmlns:p="http://schemas.microsoft.com/office/2006/metadata/properties" xmlns:ns3="32ce00e8-d56d-403b-8294-c215ff48379d" xmlns:ns4="09e43076-9e2b-4e64-ad97-3f2ff760e26f" targetNamespace="http://schemas.microsoft.com/office/2006/metadata/properties" ma:root="true" ma:fieldsID="aae477c0d433a9aa26006c9d23d2a64a" ns3:_="" ns4:_="">
    <xsd:import namespace="32ce00e8-d56d-403b-8294-c215ff48379d"/>
    <xsd:import namespace="09e43076-9e2b-4e64-ad97-3f2ff760e2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00e8-d56d-403b-8294-c215ff483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43076-9e2b-4e64-ad97-3f2ff760e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E8DAE-6823-4108-AF74-C7C0CF7AB32B}">
  <ds:schemaRefs>
    <ds:schemaRef ds:uri="http://schemas.openxmlformats.org/officeDocument/2006/bibliography"/>
  </ds:schemaRefs>
</ds:datastoreItem>
</file>

<file path=customXml/itemProps2.xml><?xml version="1.0" encoding="utf-8"?>
<ds:datastoreItem xmlns:ds="http://schemas.openxmlformats.org/officeDocument/2006/customXml" ds:itemID="{C7BF0C1F-8BFE-48A9-A6FA-C5D4F98BE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e00e8-d56d-403b-8294-c215ff48379d"/>
    <ds:schemaRef ds:uri="09e43076-9e2b-4e64-ad97-3f2ff760e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7EE8-5702-4FB4-875E-6D5AC9608DC0}">
  <ds:schemaRefs>
    <ds:schemaRef ds:uri="http://schemas.microsoft.com/sharepoint/v3/contenttype/forms"/>
  </ds:schemaRefs>
</ds:datastoreItem>
</file>

<file path=customXml/itemProps4.xml><?xml version="1.0" encoding="utf-8"?>
<ds:datastoreItem xmlns:ds="http://schemas.openxmlformats.org/officeDocument/2006/customXml" ds:itemID="{58E809D3-3272-4A61-8015-E3A7C317B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14473</Words>
  <Characters>82501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Hobden</dc:creator>
  <cp:keywords/>
  <dc:description/>
  <cp:lastModifiedBy>Duncan McLeod</cp:lastModifiedBy>
  <cp:revision>2</cp:revision>
  <dcterms:created xsi:type="dcterms:W3CDTF">2021-01-27T15:07:00Z</dcterms:created>
  <dcterms:modified xsi:type="dcterms:W3CDTF">2021-01-27T15:07:00Z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0x0101002395DB91FE57E44594A3266B37A5CB85</vt:lpwstr>
  </property>
</Properties>
</file>